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2E" w:rsidRPr="00945C72" w:rsidRDefault="00E04E2E">
      <w:pPr>
        <w:ind w:firstLineChars="200" w:firstLine="880"/>
        <w:jc w:val="center"/>
        <w:rPr>
          <w:rFonts w:ascii="方正小标宋_GBK" w:eastAsia="方正小标宋_GBK" w:hAnsi="Times New Roman"/>
          <w:sz w:val="44"/>
          <w:szCs w:val="44"/>
        </w:rPr>
      </w:pPr>
      <w:bookmarkStart w:id="0" w:name="_GoBack"/>
      <w:bookmarkEnd w:id="0"/>
      <w:r w:rsidRPr="00945C72">
        <w:rPr>
          <w:rFonts w:ascii="方正小标宋_GBK" w:eastAsia="方正小标宋_GBK" w:hAnsi="Times New Roman" w:hint="eastAsia"/>
          <w:sz w:val="44"/>
          <w:szCs w:val="44"/>
        </w:rPr>
        <w:t>霸州市人民检察院</w:t>
      </w:r>
      <w:r w:rsidRPr="00945C72">
        <w:rPr>
          <w:rFonts w:ascii="方正小标宋_GBK" w:eastAsia="方正小标宋_GBK" w:hAnsi="Times New Roman"/>
          <w:sz w:val="44"/>
          <w:szCs w:val="44"/>
        </w:rPr>
        <w:t>2017</w:t>
      </w:r>
      <w:r w:rsidRPr="00945C72">
        <w:rPr>
          <w:rFonts w:ascii="方正小标宋_GBK" w:eastAsia="方正小标宋_GBK" w:hAnsi="Times New Roman" w:hint="eastAsia"/>
          <w:sz w:val="44"/>
          <w:szCs w:val="44"/>
        </w:rPr>
        <w:t>年部门预算信息公开</w:t>
      </w:r>
    </w:p>
    <w:p w:rsidR="00E04E2E" w:rsidRDefault="00E04E2E">
      <w:pPr>
        <w:widowControl/>
        <w:wordWrap w:val="0"/>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按照《预算法》、《地方预决算公开操作规程》和《河北省省级预算公开办法》规定，现将霸州市人民检察院</w:t>
      </w:r>
      <w:r>
        <w:rPr>
          <w:rFonts w:ascii="仿宋" w:eastAsia="仿宋" w:hAnsi="仿宋" w:cs="Verdana"/>
          <w:kern w:val="0"/>
          <w:sz w:val="32"/>
          <w:szCs w:val="32"/>
          <w:lang/>
        </w:rPr>
        <w:t>2017</w:t>
      </w:r>
      <w:r>
        <w:rPr>
          <w:rFonts w:ascii="仿宋" w:eastAsia="仿宋" w:hAnsi="仿宋" w:cs="Verdana" w:hint="eastAsia"/>
          <w:kern w:val="0"/>
          <w:sz w:val="32"/>
          <w:szCs w:val="32"/>
          <w:lang/>
        </w:rPr>
        <w:t>年部门预算公开如下：</w:t>
      </w:r>
    </w:p>
    <w:p w:rsidR="00E04E2E" w:rsidRDefault="00E04E2E">
      <w:pPr>
        <w:ind w:firstLine="640"/>
        <w:rPr>
          <w:rFonts w:ascii="黑体" w:eastAsia="黑体" w:hAnsi="黑体"/>
          <w:sz w:val="32"/>
          <w:szCs w:val="32"/>
        </w:rPr>
      </w:pPr>
      <w:r>
        <w:rPr>
          <w:rFonts w:ascii="黑体" w:eastAsia="黑体" w:hAnsi="黑体" w:hint="eastAsia"/>
          <w:sz w:val="32"/>
          <w:szCs w:val="32"/>
        </w:rPr>
        <w:t>一、部门职责及机构设置情况</w:t>
      </w:r>
    </w:p>
    <w:p w:rsidR="00E04E2E" w:rsidRDefault="00E04E2E">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E04E2E" w:rsidRDefault="00E04E2E">
      <w:pPr>
        <w:widowControl/>
        <w:wordWrap w:val="0"/>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（一）受理单位和个人的报案、控告、申诉、举报以及犯罪嫌疑人的自首。</w:t>
      </w:r>
    </w:p>
    <w:p w:rsidR="00E04E2E" w:rsidRDefault="00E04E2E">
      <w:pPr>
        <w:widowControl/>
        <w:wordWrap w:val="0"/>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（二）依法对贪污受贿犯罪案件、国家工作人员渎职犯罪案件和国家机关工作人员利用职权实施的非法拘禁、刑讯逼供、报复陷害、非法搜查的侵犯公民人身权利与侵犯公民民主权利的犯罪案件进行侦查。</w:t>
      </w:r>
    </w:p>
    <w:p w:rsidR="00E04E2E" w:rsidRDefault="00E04E2E">
      <w:pPr>
        <w:widowControl/>
        <w:wordWrap w:val="0"/>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（三）依法对刑事诉讼、民事审判和行政诉讼实行法律监督。</w:t>
      </w:r>
    </w:p>
    <w:p w:rsidR="00E04E2E" w:rsidRDefault="00E04E2E">
      <w:pPr>
        <w:widowControl/>
        <w:wordWrap w:val="0"/>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（四）依法对执行机关执行罪罚的活动是否合法实行监督。</w:t>
      </w:r>
    </w:p>
    <w:p w:rsidR="00E04E2E" w:rsidRDefault="00E04E2E">
      <w:pPr>
        <w:widowControl/>
        <w:wordWrap w:val="0"/>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（五）对法院已经发生的法律效力、确有错误的判决和裁定，依法提请抗诉。</w:t>
      </w:r>
    </w:p>
    <w:p w:rsidR="00E04E2E" w:rsidRDefault="00E04E2E">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E04E2E" w:rsidRDefault="00E04E2E">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E04E2E" w:rsidRPr="00B8456A">
        <w:trPr>
          <w:trHeight w:val="300"/>
          <w:tblHeader/>
          <w:jc w:val="center"/>
        </w:trPr>
        <w:tc>
          <w:tcPr>
            <w:tcW w:w="4443" w:type="dxa"/>
            <w:vAlign w:val="center"/>
          </w:tcPr>
          <w:p w:rsidR="00E04E2E" w:rsidRDefault="00E04E2E">
            <w:pPr>
              <w:spacing w:line="300" w:lineRule="exact"/>
              <w:jc w:val="center"/>
              <w:rPr>
                <w:rFonts w:ascii="Times New Roman" w:hAnsi="Times New Roman"/>
                <w:szCs w:val="24"/>
              </w:rPr>
            </w:pPr>
            <w:r>
              <w:rPr>
                <w:rFonts w:ascii="Times New Roman" w:eastAsia="方正书宋_GBK" w:hAnsi="Times New Roman" w:hint="eastAsia"/>
                <w:b/>
              </w:rPr>
              <w:t>单位名称</w:t>
            </w:r>
          </w:p>
        </w:tc>
        <w:tc>
          <w:tcPr>
            <w:tcW w:w="1134" w:type="dxa"/>
            <w:vAlign w:val="center"/>
          </w:tcPr>
          <w:p w:rsidR="00E04E2E" w:rsidRDefault="00E04E2E">
            <w:pPr>
              <w:spacing w:line="300" w:lineRule="exact"/>
              <w:jc w:val="center"/>
              <w:rPr>
                <w:rFonts w:ascii="Times New Roman" w:hAnsi="Times New Roman"/>
                <w:szCs w:val="24"/>
              </w:rPr>
            </w:pPr>
            <w:r>
              <w:rPr>
                <w:rFonts w:ascii="Times New Roman" w:eastAsia="方正书宋_GBK" w:hAnsi="Times New Roman" w:hint="eastAsia"/>
                <w:b/>
              </w:rPr>
              <w:t>单位性质</w:t>
            </w:r>
          </w:p>
        </w:tc>
        <w:tc>
          <w:tcPr>
            <w:tcW w:w="1276" w:type="dxa"/>
            <w:vAlign w:val="center"/>
          </w:tcPr>
          <w:p w:rsidR="00E04E2E" w:rsidRDefault="00E04E2E">
            <w:pPr>
              <w:spacing w:line="300" w:lineRule="exact"/>
              <w:jc w:val="center"/>
              <w:rPr>
                <w:rFonts w:ascii="Times New Roman" w:hAnsi="Times New Roman"/>
                <w:szCs w:val="24"/>
              </w:rPr>
            </w:pPr>
            <w:r>
              <w:rPr>
                <w:rFonts w:ascii="Times New Roman" w:eastAsia="方正书宋_GBK" w:hAnsi="Times New Roman" w:hint="eastAsia"/>
                <w:b/>
              </w:rPr>
              <w:t>单位规格</w:t>
            </w:r>
          </w:p>
        </w:tc>
        <w:tc>
          <w:tcPr>
            <w:tcW w:w="2902" w:type="dxa"/>
            <w:vAlign w:val="center"/>
          </w:tcPr>
          <w:p w:rsidR="00E04E2E" w:rsidRDefault="00E04E2E">
            <w:pPr>
              <w:spacing w:line="300" w:lineRule="exact"/>
              <w:jc w:val="center"/>
              <w:rPr>
                <w:rFonts w:ascii="Times New Roman" w:hAnsi="Times New Roman"/>
                <w:szCs w:val="24"/>
              </w:rPr>
            </w:pPr>
            <w:r>
              <w:rPr>
                <w:rFonts w:ascii="Times New Roman" w:eastAsia="方正书宋_GBK" w:hAnsi="Times New Roman" w:hint="eastAsia"/>
                <w:b/>
              </w:rPr>
              <w:t>经费保障形式</w:t>
            </w:r>
          </w:p>
        </w:tc>
      </w:tr>
      <w:tr w:rsidR="00E04E2E" w:rsidRPr="00B8456A">
        <w:trPr>
          <w:trHeight w:val="227"/>
          <w:jc w:val="center"/>
        </w:trPr>
        <w:tc>
          <w:tcPr>
            <w:tcW w:w="4443" w:type="dxa"/>
            <w:vAlign w:val="center"/>
          </w:tcPr>
          <w:p w:rsidR="00E04E2E" w:rsidRDefault="00E04E2E">
            <w:pPr>
              <w:spacing w:line="300" w:lineRule="exact"/>
              <w:jc w:val="center"/>
              <w:rPr>
                <w:rFonts w:ascii="Times New Roman" w:eastAsia="方正书宋_GBK" w:hAnsi="Times New Roman"/>
                <w:szCs w:val="24"/>
              </w:rPr>
            </w:pPr>
            <w:r>
              <w:rPr>
                <w:rFonts w:ascii="Times New Roman" w:eastAsia="方正书宋_GBK" w:hAnsi="Times New Roman" w:hint="eastAsia"/>
              </w:rPr>
              <w:t>霸州市人民检察院</w:t>
            </w:r>
          </w:p>
        </w:tc>
        <w:tc>
          <w:tcPr>
            <w:tcW w:w="1134" w:type="dxa"/>
            <w:vAlign w:val="center"/>
          </w:tcPr>
          <w:p w:rsidR="00E04E2E" w:rsidRDefault="00E04E2E">
            <w:pPr>
              <w:spacing w:line="300" w:lineRule="exact"/>
              <w:jc w:val="center"/>
              <w:rPr>
                <w:rFonts w:ascii="Times New Roman" w:eastAsia="方正书宋_GBK" w:hAnsi="Times New Roman"/>
                <w:szCs w:val="24"/>
              </w:rPr>
            </w:pPr>
            <w:r>
              <w:rPr>
                <w:rFonts w:ascii="Times New Roman" w:eastAsia="方正书宋_GBK" w:hAnsi="Times New Roman" w:hint="eastAsia"/>
              </w:rPr>
              <w:t>行政</w:t>
            </w:r>
          </w:p>
        </w:tc>
        <w:tc>
          <w:tcPr>
            <w:tcW w:w="1276" w:type="dxa"/>
            <w:vAlign w:val="center"/>
          </w:tcPr>
          <w:p w:rsidR="00E04E2E" w:rsidRDefault="00E04E2E">
            <w:pPr>
              <w:spacing w:line="300" w:lineRule="exact"/>
              <w:jc w:val="center"/>
              <w:rPr>
                <w:rFonts w:ascii="Times New Roman" w:eastAsia="方正书宋_GBK" w:hAnsi="Times New Roman"/>
                <w:szCs w:val="24"/>
              </w:rPr>
            </w:pPr>
            <w:r>
              <w:rPr>
                <w:rFonts w:ascii="Times New Roman" w:eastAsia="方正书宋_GBK" w:hAnsi="Times New Roman" w:hint="eastAsia"/>
              </w:rPr>
              <w:t>副处级</w:t>
            </w:r>
          </w:p>
        </w:tc>
        <w:tc>
          <w:tcPr>
            <w:tcW w:w="2902" w:type="dxa"/>
            <w:vAlign w:val="center"/>
          </w:tcPr>
          <w:p w:rsidR="00E04E2E" w:rsidRDefault="00E04E2E">
            <w:pPr>
              <w:spacing w:line="300" w:lineRule="exact"/>
              <w:jc w:val="center"/>
              <w:rPr>
                <w:rFonts w:ascii="Times New Roman" w:eastAsia="方正书宋_GBK" w:hAnsi="Times New Roman"/>
                <w:szCs w:val="24"/>
              </w:rPr>
            </w:pPr>
            <w:r>
              <w:rPr>
                <w:rFonts w:ascii="Times New Roman" w:eastAsia="方正书宋_GBK" w:hAnsi="Times New Roman" w:hint="eastAsia"/>
              </w:rPr>
              <w:t>财政性资金基本保证</w:t>
            </w:r>
          </w:p>
        </w:tc>
      </w:tr>
    </w:tbl>
    <w:p w:rsidR="00E04E2E" w:rsidRDefault="00E04E2E">
      <w:r>
        <w:t xml:space="preserve">    </w:t>
      </w:r>
    </w:p>
    <w:p w:rsidR="00E04E2E" w:rsidRDefault="00E04E2E">
      <w:pPr>
        <w:ind w:firstLine="640"/>
        <w:rPr>
          <w:rFonts w:ascii="黑体" w:eastAsia="黑体" w:hAnsi="黑体"/>
          <w:sz w:val="32"/>
          <w:szCs w:val="32"/>
        </w:rPr>
      </w:pPr>
      <w:r>
        <w:rPr>
          <w:rFonts w:ascii="黑体" w:eastAsia="黑体" w:hAnsi="黑体" w:hint="eastAsia"/>
          <w:sz w:val="32"/>
          <w:szCs w:val="32"/>
        </w:rPr>
        <w:t>二、部门预算安排的总体情况</w:t>
      </w:r>
    </w:p>
    <w:p w:rsidR="00E04E2E" w:rsidRDefault="00E04E2E">
      <w:pPr>
        <w:widowControl/>
        <w:wordWrap w:val="0"/>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按照预算管理有关规定，目前我市部门预算的编制实行综合预算制度，即全部收入和支出都反映在预算中。</w:t>
      </w:r>
    </w:p>
    <w:p w:rsidR="00E04E2E" w:rsidRDefault="00E04E2E">
      <w:pPr>
        <w:ind w:firstLine="640"/>
        <w:rPr>
          <w:rFonts w:ascii="??_GB2312" w:eastAsia="Times New Roman" w:hAnsi="Times New Roman"/>
          <w:b/>
          <w:sz w:val="32"/>
          <w:szCs w:val="32"/>
        </w:rPr>
      </w:pPr>
      <w:r>
        <w:rPr>
          <w:rFonts w:ascii="楷体" w:eastAsia="楷体" w:hAnsi="楷体" w:cs="楷体"/>
          <w:b/>
          <w:sz w:val="32"/>
          <w:szCs w:val="32"/>
        </w:rPr>
        <w:t>1</w:t>
      </w:r>
      <w:r>
        <w:rPr>
          <w:rFonts w:ascii="楷体" w:eastAsia="楷体" w:hAnsi="楷体" w:cs="楷体" w:hint="eastAsia"/>
          <w:b/>
          <w:sz w:val="32"/>
          <w:szCs w:val="32"/>
        </w:rPr>
        <w:t>、收入说明</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反映本部门当年全部收入。</w:t>
      </w:r>
      <w:r>
        <w:rPr>
          <w:rFonts w:ascii="仿宋" w:eastAsia="仿宋" w:hAnsi="仿宋" w:cs="Verdana"/>
          <w:kern w:val="0"/>
          <w:sz w:val="32"/>
          <w:szCs w:val="32"/>
          <w:lang/>
        </w:rPr>
        <w:t>2017</w:t>
      </w:r>
      <w:r>
        <w:rPr>
          <w:rFonts w:ascii="仿宋" w:eastAsia="仿宋" w:hAnsi="仿宋" w:cs="Verdana" w:hint="eastAsia"/>
          <w:kern w:val="0"/>
          <w:sz w:val="32"/>
          <w:szCs w:val="32"/>
          <w:lang/>
        </w:rPr>
        <w:t>年预算收入</w:t>
      </w:r>
      <w:r>
        <w:rPr>
          <w:rFonts w:ascii="仿宋" w:eastAsia="仿宋" w:hAnsi="仿宋" w:cs="Verdana"/>
          <w:kern w:val="0"/>
          <w:sz w:val="32"/>
          <w:szCs w:val="32"/>
          <w:lang/>
        </w:rPr>
        <w:t>2469.22</w:t>
      </w:r>
      <w:r>
        <w:rPr>
          <w:rFonts w:ascii="仿宋" w:eastAsia="仿宋" w:hAnsi="仿宋" w:cs="Verdana" w:hint="eastAsia"/>
          <w:kern w:val="0"/>
          <w:sz w:val="32"/>
          <w:szCs w:val="32"/>
          <w:lang/>
        </w:rPr>
        <w:t>万元，其中：一般公共预算收入</w:t>
      </w:r>
      <w:r>
        <w:rPr>
          <w:rFonts w:ascii="仿宋" w:eastAsia="仿宋" w:hAnsi="仿宋" w:cs="Verdana"/>
          <w:kern w:val="0"/>
          <w:sz w:val="32"/>
          <w:szCs w:val="32"/>
          <w:lang/>
        </w:rPr>
        <w:t>2469.22</w:t>
      </w:r>
      <w:r>
        <w:rPr>
          <w:rFonts w:ascii="仿宋" w:eastAsia="仿宋" w:hAnsi="仿宋" w:cs="Verdana" w:hint="eastAsia"/>
          <w:kern w:val="0"/>
          <w:sz w:val="32"/>
          <w:szCs w:val="32"/>
          <w:lang/>
        </w:rPr>
        <w:t>万元、</w:t>
      </w:r>
      <w:r>
        <w:rPr>
          <w:rFonts w:ascii="仿宋" w:eastAsia="仿宋" w:hAnsi="仿宋" w:cs="仿宋" w:hint="eastAsia"/>
          <w:sz w:val="32"/>
          <w:szCs w:val="32"/>
        </w:rPr>
        <w:t>政府性基金收入</w:t>
      </w:r>
      <w:r>
        <w:rPr>
          <w:rFonts w:ascii="仿宋" w:eastAsia="仿宋" w:hAnsi="仿宋" w:cs="仿宋"/>
          <w:sz w:val="32"/>
          <w:szCs w:val="32"/>
        </w:rPr>
        <w:t>0</w:t>
      </w:r>
      <w:r>
        <w:rPr>
          <w:rFonts w:ascii="仿宋" w:eastAsia="仿宋" w:hAnsi="仿宋" w:cs="仿宋" w:hint="eastAsia"/>
          <w:sz w:val="32"/>
          <w:szCs w:val="32"/>
        </w:rPr>
        <w:t>万元、国有资本经营收入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E04E2E" w:rsidRDefault="00E04E2E">
      <w:pPr>
        <w:ind w:firstLine="640"/>
        <w:rPr>
          <w:rFonts w:ascii="楷体" w:eastAsia="楷体" w:hAnsi="楷体" w:cs="楷体"/>
          <w:b/>
          <w:sz w:val="32"/>
          <w:szCs w:val="32"/>
        </w:rPr>
      </w:pPr>
      <w:r>
        <w:rPr>
          <w:rFonts w:ascii="楷体" w:eastAsia="楷体" w:hAnsi="楷体" w:cs="楷体"/>
          <w:b/>
          <w:sz w:val="32"/>
          <w:szCs w:val="32"/>
        </w:rPr>
        <w:t>2</w:t>
      </w:r>
      <w:r>
        <w:rPr>
          <w:rFonts w:ascii="楷体" w:eastAsia="楷体" w:hAnsi="楷体" w:cs="楷体" w:hint="eastAsia"/>
          <w:b/>
          <w:sz w:val="32"/>
          <w:szCs w:val="32"/>
        </w:rPr>
        <w:t>、支出说明</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收支预算总表支出栏、基本支出表、项目支出表按经济分类和支出功能分类科目编制，反映霸州市人民检察院</w:t>
      </w:r>
      <w:r>
        <w:rPr>
          <w:rFonts w:ascii="仿宋" w:eastAsia="仿宋" w:hAnsi="仿宋" w:cs="Verdana"/>
          <w:kern w:val="0"/>
          <w:sz w:val="32"/>
          <w:szCs w:val="32"/>
          <w:lang/>
        </w:rPr>
        <w:t>2017</w:t>
      </w:r>
      <w:r>
        <w:rPr>
          <w:rFonts w:ascii="仿宋" w:eastAsia="仿宋" w:hAnsi="仿宋" w:cs="Verdana" w:hint="eastAsia"/>
          <w:kern w:val="0"/>
          <w:sz w:val="32"/>
          <w:szCs w:val="32"/>
          <w:lang/>
        </w:rPr>
        <w:t>年度部门预算中支出预算的总体情况。</w:t>
      </w:r>
      <w:r>
        <w:rPr>
          <w:rFonts w:ascii="仿宋" w:eastAsia="仿宋" w:hAnsi="仿宋" w:cs="Verdana"/>
          <w:kern w:val="0"/>
          <w:sz w:val="32"/>
          <w:szCs w:val="32"/>
          <w:lang/>
        </w:rPr>
        <w:t>2017</w:t>
      </w:r>
      <w:r>
        <w:rPr>
          <w:rFonts w:ascii="仿宋" w:eastAsia="仿宋" w:hAnsi="仿宋" w:cs="Verdana" w:hint="eastAsia"/>
          <w:kern w:val="0"/>
          <w:sz w:val="32"/>
          <w:szCs w:val="32"/>
          <w:lang/>
        </w:rPr>
        <w:t>年本部门支出预算</w:t>
      </w:r>
      <w:r>
        <w:rPr>
          <w:rFonts w:ascii="仿宋" w:eastAsia="仿宋" w:hAnsi="仿宋" w:cs="Verdana"/>
          <w:kern w:val="0"/>
          <w:sz w:val="32"/>
          <w:szCs w:val="32"/>
          <w:lang/>
        </w:rPr>
        <w:t>2469.22</w:t>
      </w:r>
      <w:r>
        <w:rPr>
          <w:rFonts w:ascii="仿宋" w:eastAsia="仿宋" w:hAnsi="仿宋" w:cs="Verdana" w:hint="eastAsia"/>
          <w:kern w:val="0"/>
          <w:sz w:val="32"/>
          <w:szCs w:val="32"/>
          <w:lang/>
        </w:rPr>
        <w:t>万元，其中基本支出</w:t>
      </w:r>
      <w:r>
        <w:rPr>
          <w:rFonts w:ascii="仿宋" w:eastAsia="仿宋" w:hAnsi="仿宋" w:cs="Verdana"/>
          <w:kern w:val="0"/>
          <w:sz w:val="32"/>
          <w:szCs w:val="32"/>
          <w:lang/>
        </w:rPr>
        <w:t>1724.72</w:t>
      </w:r>
      <w:r>
        <w:rPr>
          <w:rFonts w:ascii="仿宋" w:eastAsia="仿宋" w:hAnsi="仿宋" w:cs="Verdana" w:hint="eastAsia"/>
          <w:kern w:val="0"/>
          <w:sz w:val="32"/>
          <w:szCs w:val="32"/>
          <w:lang/>
        </w:rPr>
        <w:t>万元，包括人员经费和日常公用经费；项目支出</w:t>
      </w:r>
      <w:r>
        <w:rPr>
          <w:rFonts w:ascii="仿宋" w:eastAsia="仿宋" w:hAnsi="仿宋" w:cs="Verdana"/>
          <w:kern w:val="0"/>
          <w:sz w:val="32"/>
          <w:szCs w:val="32"/>
          <w:lang/>
        </w:rPr>
        <w:t>744.5</w:t>
      </w:r>
      <w:r>
        <w:rPr>
          <w:rFonts w:ascii="仿宋" w:eastAsia="仿宋" w:hAnsi="仿宋" w:cs="Verdana" w:hint="eastAsia"/>
          <w:kern w:val="0"/>
          <w:sz w:val="32"/>
          <w:szCs w:val="32"/>
          <w:lang/>
        </w:rPr>
        <w:t>万元，全部为本级支出。主要为公共安全支出，行政要运行支出，检察支出，其他检察支出等。</w:t>
      </w:r>
    </w:p>
    <w:p w:rsidR="00E04E2E" w:rsidRDefault="00E04E2E">
      <w:pPr>
        <w:ind w:firstLineChars="200" w:firstLine="643"/>
        <w:rPr>
          <w:rFonts w:ascii="楷体" w:eastAsia="楷体" w:hAnsi="楷体" w:cs="楷体"/>
          <w:b/>
          <w:sz w:val="32"/>
          <w:szCs w:val="32"/>
        </w:rPr>
      </w:pPr>
      <w:r>
        <w:rPr>
          <w:rFonts w:ascii="楷体" w:eastAsia="楷体" w:hAnsi="楷体" w:cs="楷体"/>
          <w:b/>
          <w:sz w:val="32"/>
          <w:szCs w:val="32"/>
        </w:rPr>
        <w:t>3</w:t>
      </w:r>
      <w:r>
        <w:rPr>
          <w:rFonts w:ascii="楷体" w:eastAsia="楷体" w:hAnsi="楷体" w:cs="楷体" w:hint="eastAsia"/>
          <w:b/>
          <w:sz w:val="32"/>
          <w:szCs w:val="32"/>
        </w:rPr>
        <w:t>、比上年增减情况</w:t>
      </w:r>
    </w:p>
    <w:p w:rsidR="00E04E2E" w:rsidRDefault="00E04E2E">
      <w:pPr>
        <w:widowControl/>
        <w:wordWrap w:val="0"/>
        <w:spacing w:line="580" w:lineRule="atLeast"/>
        <w:ind w:firstLineChars="200" w:firstLine="640"/>
        <w:jc w:val="left"/>
        <w:rPr>
          <w:rFonts w:ascii="仿宋" w:eastAsia="仿宋" w:hAnsi="仿宋" w:cs="Verdana"/>
          <w:kern w:val="0"/>
          <w:sz w:val="32"/>
          <w:szCs w:val="32"/>
          <w:lang/>
        </w:rPr>
      </w:pPr>
      <w:r>
        <w:rPr>
          <w:rFonts w:ascii="仿宋" w:eastAsia="仿宋" w:hAnsi="仿宋" w:cs="Verdana"/>
          <w:kern w:val="0"/>
          <w:sz w:val="32"/>
          <w:szCs w:val="32"/>
          <w:lang/>
        </w:rPr>
        <w:t>2017</w:t>
      </w:r>
      <w:r>
        <w:rPr>
          <w:rFonts w:ascii="仿宋" w:eastAsia="仿宋" w:hAnsi="仿宋" w:cs="Verdana" w:hint="eastAsia"/>
          <w:kern w:val="0"/>
          <w:sz w:val="32"/>
          <w:szCs w:val="32"/>
          <w:lang/>
        </w:rPr>
        <w:t>年预算收支安排</w:t>
      </w:r>
      <w:r>
        <w:rPr>
          <w:rFonts w:ascii="仿宋" w:eastAsia="仿宋" w:hAnsi="仿宋" w:cs="Verdana"/>
          <w:kern w:val="0"/>
          <w:sz w:val="32"/>
          <w:szCs w:val="32"/>
          <w:lang/>
        </w:rPr>
        <w:t>2469.22</w:t>
      </w:r>
      <w:r>
        <w:rPr>
          <w:rFonts w:ascii="仿宋" w:eastAsia="仿宋" w:hAnsi="仿宋" w:cs="Verdana" w:hint="eastAsia"/>
          <w:kern w:val="0"/>
          <w:sz w:val="32"/>
          <w:szCs w:val="32"/>
          <w:lang/>
        </w:rPr>
        <w:t>万元，较</w:t>
      </w:r>
      <w:r>
        <w:rPr>
          <w:rFonts w:ascii="仿宋" w:eastAsia="仿宋" w:hAnsi="仿宋" w:cs="Verdana"/>
          <w:kern w:val="0"/>
          <w:sz w:val="32"/>
          <w:szCs w:val="32"/>
          <w:lang/>
        </w:rPr>
        <w:t>2016</w:t>
      </w:r>
      <w:r>
        <w:rPr>
          <w:rFonts w:ascii="仿宋" w:eastAsia="仿宋" w:hAnsi="仿宋" w:cs="Verdana" w:hint="eastAsia"/>
          <w:kern w:val="0"/>
          <w:sz w:val="32"/>
          <w:szCs w:val="32"/>
          <w:lang/>
        </w:rPr>
        <w:t>年预算增加</w:t>
      </w:r>
      <w:r>
        <w:rPr>
          <w:rFonts w:ascii="仿宋" w:eastAsia="仿宋" w:hAnsi="仿宋" w:cs="Verdana"/>
          <w:kern w:val="0"/>
          <w:sz w:val="32"/>
          <w:szCs w:val="32"/>
          <w:lang/>
        </w:rPr>
        <w:t>877.29</w:t>
      </w:r>
      <w:r>
        <w:rPr>
          <w:rFonts w:ascii="仿宋" w:eastAsia="仿宋" w:hAnsi="仿宋" w:cs="Verdana" w:hint="eastAsia"/>
          <w:kern w:val="0"/>
          <w:sz w:val="32"/>
          <w:szCs w:val="32"/>
          <w:lang/>
        </w:rPr>
        <w:t>万元，其中：基本支出增加</w:t>
      </w:r>
      <w:r>
        <w:rPr>
          <w:rFonts w:ascii="仿宋" w:eastAsia="仿宋" w:hAnsi="仿宋" w:cs="Verdana"/>
          <w:kern w:val="0"/>
          <w:sz w:val="32"/>
          <w:szCs w:val="32"/>
          <w:lang/>
        </w:rPr>
        <w:t>685.59</w:t>
      </w:r>
      <w:r>
        <w:rPr>
          <w:rFonts w:ascii="仿宋" w:eastAsia="仿宋" w:hAnsi="仿宋" w:cs="Verdana" w:hint="eastAsia"/>
          <w:kern w:val="0"/>
          <w:sz w:val="32"/>
          <w:szCs w:val="32"/>
          <w:lang/>
        </w:rPr>
        <w:t>万元，主要为增加人员经费支出；项目支出增加</w:t>
      </w:r>
      <w:r>
        <w:rPr>
          <w:rFonts w:ascii="仿宋" w:eastAsia="仿宋" w:hAnsi="仿宋" w:cs="Verdana"/>
          <w:kern w:val="0"/>
          <w:sz w:val="32"/>
          <w:szCs w:val="32"/>
          <w:lang/>
        </w:rPr>
        <w:t>191.7</w:t>
      </w:r>
      <w:r>
        <w:rPr>
          <w:rFonts w:ascii="仿宋" w:eastAsia="仿宋" w:hAnsi="仿宋" w:cs="Verdana" w:hint="eastAsia"/>
          <w:kern w:val="0"/>
          <w:sz w:val="32"/>
          <w:szCs w:val="32"/>
          <w:lang/>
        </w:rPr>
        <w:t>万元，主要为基本项目支出。</w:t>
      </w:r>
    </w:p>
    <w:p w:rsidR="00E04E2E" w:rsidRDefault="00E04E2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E04E2E" w:rsidRDefault="00E04E2E">
      <w:pPr>
        <w:widowControl/>
        <w:wordWrap w:val="0"/>
        <w:spacing w:line="580" w:lineRule="atLeast"/>
        <w:ind w:firstLineChars="200" w:firstLine="640"/>
        <w:jc w:val="left"/>
        <w:rPr>
          <w:rFonts w:ascii="??_GB2312" w:eastAsia="Times New Roman" w:hAnsi="Times New Roman"/>
          <w:color w:val="FF0000"/>
          <w:sz w:val="32"/>
          <w:szCs w:val="32"/>
        </w:rPr>
      </w:pPr>
      <w:r>
        <w:rPr>
          <w:rFonts w:ascii="仿宋" w:eastAsia="仿宋" w:hAnsi="仿宋" w:cs="Verdana" w:hint="eastAsia"/>
          <w:kern w:val="0"/>
          <w:sz w:val="32"/>
          <w:szCs w:val="32"/>
          <w:lang/>
        </w:rPr>
        <w:t>机关运行经费共计安排</w:t>
      </w:r>
      <w:r>
        <w:rPr>
          <w:rFonts w:ascii="仿宋" w:eastAsia="仿宋" w:hAnsi="仿宋" w:cs="Verdana"/>
          <w:kern w:val="0"/>
          <w:sz w:val="32"/>
          <w:szCs w:val="32"/>
          <w:lang/>
        </w:rPr>
        <w:t>101.9</w:t>
      </w:r>
      <w:r>
        <w:rPr>
          <w:rFonts w:ascii="仿宋" w:eastAsia="仿宋" w:hAnsi="仿宋" w:cs="Verdana" w:hint="eastAsia"/>
          <w:kern w:val="0"/>
          <w:sz w:val="32"/>
          <w:szCs w:val="32"/>
          <w:lang/>
        </w:rPr>
        <w:t>万元，主要用于霸州市人民检察院办公区的日常维修、办公用房水电费、办公用房取暖费、办公用房物业管理费等日常运行支出。</w:t>
      </w:r>
    </w:p>
    <w:p w:rsidR="00E04E2E" w:rsidRDefault="00E04E2E">
      <w:pPr>
        <w:numPr>
          <w:ilvl w:val="0"/>
          <w:numId w:val="1"/>
        </w:num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财政拨款“三公”经费预算情况及增减变化原因</w:t>
      </w:r>
    </w:p>
    <w:p w:rsidR="00E04E2E" w:rsidRDefault="00E04E2E">
      <w:pPr>
        <w:autoSpaceDE w:val="0"/>
        <w:autoSpaceDN w:val="0"/>
        <w:adjustRightInd w:val="0"/>
        <w:ind w:firstLineChars="200" w:firstLine="640"/>
        <w:jc w:val="left"/>
        <w:rPr>
          <w:rFonts w:ascii="??_GB2312" w:eastAsia="Times New Roman" w:hAnsi="Times New Roman"/>
          <w:color w:val="FF0000"/>
          <w:sz w:val="32"/>
          <w:szCs w:val="32"/>
        </w:rPr>
      </w:pPr>
      <w:r>
        <w:rPr>
          <w:rFonts w:ascii="仿宋" w:eastAsia="仿宋" w:hAnsi="仿宋" w:cs="Verdana"/>
          <w:kern w:val="0"/>
          <w:sz w:val="32"/>
          <w:szCs w:val="32"/>
          <w:lang/>
        </w:rPr>
        <w:t>2017</w:t>
      </w:r>
      <w:r>
        <w:rPr>
          <w:rFonts w:ascii="仿宋" w:eastAsia="仿宋" w:hAnsi="仿宋" w:cs="Verdana" w:hint="eastAsia"/>
          <w:kern w:val="0"/>
          <w:sz w:val="32"/>
          <w:szCs w:val="32"/>
          <w:lang/>
        </w:rPr>
        <w:t>年，我部门“三公”经费预算安排</w:t>
      </w:r>
      <w:r>
        <w:rPr>
          <w:rFonts w:ascii="仿宋" w:eastAsia="仿宋" w:hAnsi="仿宋" w:cs="Verdana"/>
          <w:kern w:val="0"/>
          <w:sz w:val="32"/>
          <w:szCs w:val="32"/>
          <w:lang/>
        </w:rPr>
        <w:t>72.2</w:t>
      </w:r>
      <w:r>
        <w:rPr>
          <w:rFonts w:ascii="仿宋" w:eastAsia="仿宋" w:hAnsi="仿宋" w:cs="Verdana" w:hint="eastAsia"/>
          <w:kern w:val="0"/>
          <w:sz w:val="32"/>
          <w:szCs w:val="32"/>
          <w:lang/>
        </w:rPr>
        <w:t>万元，其中因公出国（境）费</w:t>
      </w:r>
      <w:r>
        <w:rPr>
          <w:rFonts w:ascii="仿宋" w:eastAsia="仿宋" w:hAnsi="仿宋" w:cs="Verdana"/>
          <w:kern w:val="0"/>
          <w:sz w:val="32"/>
          <w:szCs w:val="32"/>
          <w:lang/>
        </w:rPr>
        <w:t>0</w:t>
      </w:r>
      <w:r>
        <w:rPr>
          <w:rFonts w:ascii="仿宋" w:eastAsia="仿宋" w:hAnsi="仿宋" w:cs="Verdana" w:hint="eastAsia"/>
          <w:kern w:val="0"/>
          <w:sz w:val="32"/>
          <w:szCs w:val="32"/>
          <w:lang/>
        </w:rPr>
        <w:t>万元；公务用车购置及运维费</w:t>
      </w:r>
      <w:r>
        <w:rPr>
          <w:rFonts w:ascii="仿宋" w:eastAsia="仿宋" w:hAnsi="仿宋" w:cs="Verdana"/>
          <w:kern w:val="0"/>
          <w:sz w:val="32"/>
          <w:szCs w:val="32"/>
          <w:lang/>
        </w:rPr>
        <w:t>65</w:t>
      </w:r>
      <w:r>
        <w:rPr>
          <w:rFonts w:ascii="仿宋" w:eastAsia="仿宋" w:hAnsi="仿宋" w:cs="Verdana" w:hint="eastAsia"/>
          <w:kern w:val="0"/>
          <w:sz w:val="32"/>
          <w:szCs w:val="32"/>
          <w:lang/>
        </w:rPr>
        <w:t>万元，（其中：公务用车购置费为</w:t>
      </w:r>
      <w:r>
        <w:rPr>
          <w:rFonts w:ascii="仿宋" w:eastAsia="仿宋" w:hAnsi="仿宋" w:cs="Verdana"/>
          <w:kern w:val="0"/>
          <w:sz w:val="32"/>
          <w:szCs w:val="32"/>
          <w:lang/>
        </w:rPr>
        <w:t>0</w:t>
      </w:r>
      <w:r>
        <w:rPr>
          <w:rFonts w:ascii="仿宋" w:eastAsia="仿宋" w:hAnsi="仿宋" w:cs="Verdana" w:hint="eastAsia"/>
          <w:kern w:val="0"/>
          <w:sz w:val="32"/>
          <w:szCs w:val="32"/>
          <w:lang/>
        </w:rPr>
        <w:t>万元，公务用车运行费</w:t>
      </w:r>
      <w:r>
        <w:rPr>
          <w:rFonts w:ascii="仿宋" w:eastAsia="仿宋" w:hAnsi="仿宋" w:cs="Verdana"/>
          <w:kern w:val="0"/>
          <w:sz w:val="32"/>
          <w:szCs w:val="32"/>
          <w:lang/>
        </w:rPr>
        <w:t>65</w:t>
      </w:r>
      <w:r>
        <w:rPr>
          <w:rFonts w:ascii="仿宋" w:eastAsia="仿宋" w:hAnsi="仿宋" w:cs="Verdana" w:hint="eastAsia"/>
          <w:kern w:val="0"/>
          <w:sz w:val="32"/>
          <w:szCs w:val="32"/>
          <w:lang/>
        </w:rPr>
        <w:t>万元）；公务接待费</w:t>
      </w:r>
      <w:r>
        <w:rPr>
          <w:rFonts w:ascii="仿宋" w:eastAsia="仿宋" w:hAnsi="仿宋" w:cs="Verdana"/>
          <w:kern w:val="0"/>
          <w:sz w:val="32"/>
          <w:szCs w:val="32"/>
          <w:lang/>
        </w:rPr>
        <w:t>7.2</w:t>
      </w:r>
      <w:r>
        <w:rPr>
          <w:rFonts w:ascii="仿宋" w:eastAsia="仿宋" w:hAnsi="仿宋" w:cs="Verdana" w:hint="eastAsia"/>
          <w:kern w:val="0"/>
          <w:sz w:val="32"/>
          <w:szCs w:val="32"/>
          <w:lang/>
        </w:rPr>
        <w:t>万元，与</w:t>
      </w:r>
      <w:r>
        <w:rPr>
          <w:rFonts w:ascii="仿宋" w:eastAsia="仿宋" w:hAnsi="仿宋" w:cs="Verdana"/>
          <w:kern w:val="0"/>
          <w:sz w:val="32"/>
          <w:szCs w:val="32"/>
          <w:lang/>
        </w:rPr>
        <w:t>2016</w:t>
      </w:r>
      <w:r>
        <w:rPr>
          <w:rFonts w:ascii="仿宋" w:eastAsia="仿宋" w:hAnsi="仿宋" w:cs="Verdana" w:hint="eastAsia"/>
          <w:kern w:val="0"/>
          <w:sz w:val="32"/>
          <w:szCs w:val="32"/>
          <w:lang/>
        </w:rPr>
        <w:t>年减少</w:t>
      </w:r>
      <w:r>
        <w:rPr>
          <w:rFonts w:ascii="仿宋" w:eastAsia="仿宋" w:hAnsi="仿宋" w:cs="Verdana"/>
          <w:kern w:val="0"/>
          <w:sz w:val="32"/>
          <w:szCs w:val="32"/>
          <w:lang/>
        </w:rPr>
        <w:t>54.5</w:t>
      </w:r>
      <w:r>
        <w:rPr>
          <w:rFonts w:ascii="仿宋" w:eastAsia="仿宋" w:hAnsi="仿宋" w:cs="Verdana" w:hint="eastAsia"/>
          <w:kern w:val="0"/>
          <w:sz w:val="32"/>
          <w:szCs w:val="32"/>
          <w:lang/>
        </w:rPr>
        <w:t>万元，主要原因为公车改革后，我部门厉行节约，严控公车运维支出。</w:t>
      </w:r>
    </w:p>
    <w:p w:rsidR="00E04E2E" w:rsidRDefault="00E04E2E">
      <w:pPr>
        <w:ind w:firstLineChars="200" w:firstLine="640"/>
        <w:rPr>
          <w:rFonts w:ascii="黑体" w:eastAsia="黑体" w:hAnsi="黑体"/>
          <w:sz w:val="32"/>
          <w:szCs w:val="32"/>
        </w:rPr>
      </w:pPr>
      <w:r>
        <w:rPr>
          <w:rFonts w:ascii="黑体" w:eastAsia="黑体" w:hAnsi="黑体" w:hint="eastAsia"/>
          <w:sz w:val="32"/>
          <w:szCs w:val="32"/>
        </w:rPr>
        <w:t>五、绩效预算信息</w:t>
      </w:r>
    </w:p>
    <w:p w:rsidR="00E04E2E" w:rsidRDefault="00E04E2E">
      <w:pPr>
        <w:ind w:firstLineChars="200" w:firstLine="643"/>
        <w:jc w:val="left"/>
        <w:rPr>
          <w:rFonts w:ascii="??_GB2312" w:eastAsia="Times New Roman" w:hAnsi="Times New Roman"/>
          <w:b/>
          <w:sz w:val="32"/>
          <w:szCs w:val="32"/>
        </w:rPr>
      </w:pPr>
      <w:bookmarkStart w:id="1" w:name="_Toc471398463"/>
      <w:r>
        <w:rPr>
          <w:rFonts w:ascii="楷体" w:eastAsia="楷体" w:hAnsi="楷体" w:cs="楷体" w:hint="eastAsia"/>
          <w:b/>
          <w:sz w:val="32"/>
          <w:szCs w:val="32"/>
        </w:rPr>
        <w:t>总体绩效目标：</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牢牢把握“业务立检”在检察工作全局中的中心地位，全面履行宪法和法律赋予的职责保障公民基本人权的客观需求，刑事诉讼活动特别是侦查工作往往涉及到公民的相关权利，检察院依法行使侦查监督权，可以在一定程度上和人民的相关权利。加大业务办理，使案件能够顺利，有序的进行。</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hint="eastAsia"/>
          <w:kern w:val="0"/>
          <w:sz w:val="32"/>
          <w:szCs w:val="32"/>
          <w:lang/>
        </w:rPr>
        <w:t>积极参与平安霸州建设，着力维护社会和谐稳定。一是严厉打击各类刑事犯罪，突出打击黑恶势力犯罪、多发性侵财犯罪、危害食品安全犯罪、环境污染犯罪以及涉枪涉爆恐怖犯罪，依法严厉打击侵犯非公企业特别是小微企业合法权益的犯罪活动，平等保护各类市场主体的合法权益。</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1.</w:t>
      </w:r>
      <w:r>
        <w:rPr>
          <w:rFonts w:ascii="仿宋" w:eastAsia="仿宋" w:hAnsi="仿宋" w:cs="Verdana" w:hint="eastAsia"/>
          <w:kern w:val="0"/>
          <w:sz w:val="32"/>
          <w:szCs w:val="32"/>
          <w:lang/>
        </w:rPr>
        <w:t>控告申诉检察部门、举报中心。承办受理、接待报案、控告和举报，接受犯罪人的自首；受理不服人民检察院不批捕、不起诉、撤销案件及其他处理决定申诉人；受理不服人民法院已经发生法律效力的刑事判决、裁定的申诉；受理人民检察院负有赔偿义务的刑事赔偿案件等工作。</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2</w:t>
      </w:r>
      <w:r>
        <w:rPr>
          <w:rFonts w:ascii="仿宋" w:eastAsia="仿宋" w:hAnsi="仿宋" w:cs="Verdana" w:hint="eastAsia"/>
          <w:kern w:val="0"/>
          <w:sz w:val="32"/>
          <w:szCs w:val="32"/>
          <w:lang/>
        </w:rPr>
        <w:t>、反贪污贿赂部门。承办对国家工作人员的贪污、贿赂、挪用公款等职务犯罪进行立案侦查等工作。</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3</w:t>
      </w:r>
      <w:r>
        <w:rPr>
          <w:rFonts w:ascii="仿宋" w:eastAsia="仿宋" w:hAnsi="仿宋" w:cs="Verdana" w:hint="eastAsia"/>
          <w:kern w:val="0"/>
          <w:sz w:val="32"/>
          <w:szCs w:val="32"/>
          <w:lang/>
        </w:rPr>
        <w:t>、法纪检察部门。承办对国家工作人员的渎职犯罪和国家机关工作人员利用职权实施的非法拘禁、刑讯逼供、报复陷害、非法搜查、暴力取证、破坏选举等犯罪进行立案侦查等工作。</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4</w:t>
      </w:r>
      <w:r>
        <w:rPr>
          <w:rFonts w:ascii="仿宋" w:eastAsia="仿宋" w:hAnsi="仿宋" w:cs="Verdana" w:hint="eastAsia"/>
          <w:kern w:val="0"/>
          <w:sz w:val="32"/>
          <w:szCs w:val="32"/>
          <w:lang/>
        </w:rPr>
        <w:t>、审查逮捕部门。承办对公安机关、国家安全机关和人民检察院侦查部门提出批准逮捕的案件审查决定是否批捕，对公安机关、国家安全机关和人民检察院侦查部门提请延长侦查羁押期限的案件审查决定是否延长，对公安机关应当立案侦查而不立案的及侦查活动是否合法实行监督等工作。</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5</w:t>
      </w:r>
      <w:r>
        <w:rPr>
          <w:rFonts w:ascii="仿宋" w:eastAsia="仿宋" w:hAnsi="仿宋" w:cs="Verdana" w:hint="eastAsia"/>
          <w:kern w:val="0"/>
          <w:sz w:val="32"/>
          <w:szCs w:val="32"/>
          <w:lang/>
        </w:rPr>
        <w:t>、审查起诉部门。承办对公安机关、国家安全机关和人民检察院侦查部门移送起诉或不起诉的案件审查决定是否提起公诉或不起诉，出席法庭支持共组，对人民法院的审判活动实行监督，对确有错误的刑事判决、裁定提出抗诉等工作。</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6</w:t>
      </w:r>
      <w:r>
        <w:rPr>
          <w:rFonts w:ascii="仿宋" w:eastAsia="仿宋" w:hAnsi="仿宋" w:cs="Verdana" w:hint="eastAsia"/>
          <w:kern w:val="0"/>
          <w:sz w:val="32"/>
          <w:szCs w:val="32"/>
          <w:lang/>
        </w:rPr>
        <w:t>、监所检察部门。承办对刑事判决、裁定的执行和监管活动进行监督，直接立案侦查虐待被监管人罪、私放在押人员罪。失职致使在押人员逃脱罪和徇私舞弊减刑、假释、暂予监外执行罪案，对监外执行的犯罪和劳教人员又犯罪案件审查批捕、起诉等工作。</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7</w:t>
      </w:r>
      <w:r>
        <w:rPr>
          <w:rFonts w:ascii="仿宋" w:eastAsia="仿宋" w:hAnsi="仿宋" w:cs="Verdana" w:hint="eastAsia"/>
          <w:kern w:val="0"/>
          <w:sz w:val="32"/>
          <w:szCs w:val="32"/>
          <w:lang/>
        </w:rPr>
        <w:t>、民事行政监察部门。承办对人民法院已经发生法律效力的民事、行政判决、裁定，插线确有错误或违反法定程序，可能影响案件正确判定、裁定的，依法提出抗诉等工作。</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8</w:t>
      </w:r>
      <w:r>
        <w:rPr>
          <w:rFonts w:ascii="仿宋" w:eastAsia="仿宋" w:hAnsi="仿宋" w:cs="Verdana" w:hint="eastAsia"/>
          <w:kern w:val="0"/>
          <w:sz w:val="32"/>
          <w:szCs w:val="32"/>
          <w:lang/>
        </w:rPr>
        <w:t>、犯罪预防部门。负责职务犯罪的预防工作。研究、分析职务犯罪预防工作的特点、规律，提出贪污贿赂、渎职犯罪的预防对策；展开对未成年人犯罪的预防工作；负责对检察机关在检察环节中其他社会治安综合治理工作的指导；负责对职务犯罪预防工作的法制宣传。</w:t>
      </w:r>
    </w:p>
    <w:p w:rsidR="00E04E2E" w:rsidRDefault="00E04E2E">
      <w:pPr>
        <w:widowControl/>
        <w:wordWrap w:val="0"/>
        <w:spacing w:line="580" w:lineRule="atLeast"/>
        <w:ind w:firstLine="640"/>
        <w:jc w:val="left"/>
        <w:rPr>
          <w:rFonts w:ascii="仿宋" w:eastAsia="仿宋" w:hAnsi="仿宋" w:cs="Verdana"/>
          <w:kern w:val="0"/>
          <w:sz w:val="32"/>
          <w:szCs w:val="32"/>
          <w:lang/>
        </w:rPr>
      </w:pPr>
      <w:r>
        <w:rPr>
          <w:rFonts w:ascii="仿宋" w:eastAsia="仿宋" w:hAnsi="仿宋" w:cs="Verdana"/>
          <w:kern w:val="0"/>
          <w:sz w:val="32"/>
          <w:szCs w:val="32"/>
          <w:lang/>
        </w:rPr>
        <w:t>9</w:t>
      </w:r>
      <w:r>
        <w:rPr>
          <w:rFonts w:ascii="仿宋" w:eastAsia="仿宋" w:hAnsi="仿宋" w:cs="Verdana" w:hint="eastAsia"/>
          <w:kern w:val="0"/>
          <w:sz w:val="32"/>
          <w:szCs w:val="32"/>
          <w:lang/>
        </w:rPr>
        <w:t>、纪检监察部门。承办受理群众和社会各界对检察人员利用职权进行违法办案、越权办案、刑讯逼供、吃请受贿等违法违纪行为的举报和控告，并进行查处等工作。</w:t>
      </w:r>
    </w:p>
    <w:p w:rsidR="00E04E2E" w:rsidRDefault="00E04E2E" w:rsidP="00945C72">
      <w:pPr>
        <w:ind w:firstLineChars="196" w:firstLine="630"/>
        <w:jc w:val="left"/>
        <w:outlineLvl w:val="0"/>
        <w:rPr>
          <w:rFonts w:ascii="??_GB2312" w:eastAsia="Times New Roman" w:hAnsi="Times New Roman"/>
          <w:b/>
          <w:sz w:val="32"/>
          <w:szCs w:val="24"/>
        </w:rPr>
      </w:pPr>
      <w:r>
        <w:rPr>
          <w:rFonts w:ascii="楷体" w:eastAsia="楷体" w:hAnsi="楷体" w:cs="楷体" w:hint="eastAsia"/>
          <w:b/>
          <w:sz w:val="32"/>
          <w:szCs w:val="32"/>
        </w:rPr>
        <w:t>部门职责及工作活动绩效目标指标：</w:t>
      </w:r>
    </w:p>
    <w:p w:rsidR="00E04E2E" w:rsidRDefault="00E04E2E">
      <w:pPr>
        <w:jc w:val="center"/>
        <w:outlineLvl w:val="0"/>
        <w:rPr>
          <w:rFonts w:ascii="方正小标宋_GBK" w:eastAsia="方正小标宋_GBK"/>
          <w:sz w:val="32"/>
        </w:rPr>
      </w:pPr>
      <w:r>
        <w:rPr>
          <w:rFonts w:ascii="宋体" w:hAnsi="宋体" w:cs="宋体" w:hint="eastAsia"/>
          <w:sz w:val="32"/>
        </w:rPr>
        <w:t>部门职责</w:t>
      </w:r>
      <w:r>
        <w:rPr>
          <w:rFonts w:ascii="???????" w:eastAsia="Times New Roman" w:hAnsi="???????" w:cs="???????"/>
          <w:sz w:val="32"/>
        </w:rPr>
        <w:t>-</w:t>
      </w:r>
      <w:r>
        <w:rPr>
          <w:rFonts w:ascii="宋体" w:hAnsi="宋体" w:cs="宋体" w:hint="eastAsia"/>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E04E2E" w:rsidRPr="00B8456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04E2E" w:rsidRPr="00B8456A" w:rsidRDefault="00E04E2E">
            <w:pPr>
              <w:spacing w:line="300" w:lineRule="exact"/>
              <w:jc w:val="left"/>
              <w:rPr>
                <w:rFonts w:ascii="方正小标宋_GBK" w:eastAsia="方正小标宋_GBK"/>
                <w:sz w:val="24"/>
              </w:rPr>
            </w:pPr>
            <w:r w:rsidRPr="00B8456A">
              <w:rPr>
                <w:rFonts w:ascii="方正小标宋_GBK" w:eastAsia="方正小标宋_GBK"/>
                <w:sz w:val="24"/>
              </w:rPr>
              <w:t>404</w:t>
            </w:r>
            <w:r w:rsidRPr="00B8456A">
              <w:rPr>
                <w:rFonts w:ascii="方正小标宋_GBK" w:eastAsia="方正小标宋_GBK" w:hint="eastAsia"/>
                <w:sz w:val="24"/>
              </w:rPr>
              <w:t>霸州市人民检察院</w:t>
            </w:r>
          </w:p>
        </w:tc>
        <w:tc>
          <w:tcPr>
            <w:tcW w:w="2948" w:type="dxa"/>
            <w:gridSpan w:val="4"/>
            <w:tcBorders>
              <w:top w:val="single" w:sz="6" w:space="0" w:color="FFFFFF"/>
              <w:left w:val="single" w:sz="6" w:space="0" w:color="FFFFFF"/>
              <w:right w:val="single" w:sz="6" w:space="0" w:color="FFFFFF"/>
            </w:tcBorders>
            <w:vAlign w:val="center"/>
          </w:tcPr>
          <w:p w:rsidR="00E04E2E" w:rsidRPr="00B8456A" w:rsidRDefault="00E04E2E">
            <w:pPr>
              <w:spacing w:line="300" w:lineRule="exact"/>
              <w:jc w:val="right"/>
              <w:rPr>
                <w:rFonts w:ascii="方正书宋_GBK" w:eastAsia="方正书宋_GBK"/>
                <w:sz w:val="24"/>
              </w:rPr>
            </w:pPr>
            <w:r w:rsidRPr="00B8456A">
              <w:rPr>
                <w:rFonts w:ascii="方正书宋_GBK" w:eastAsia="方正书宋_GBK" w:hint="eastAsia"/>
                <w:sz w:val="24"/>
              </w:rPr>
              <w:t>单位：万元</w:t>
            </w:r>
          </w:p>
        </w:tc>
      </w:tr>
      <w:tr w:rsidR="00E04E2E" w:rsidRPr="00B8456A">
        <w:trPr>
          <w:trHeight w:val="227"/>
          <w:tblHeader/>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职责活动</w:t>
            </w:r>
          </w:p>
        </w:tc>
        <w:tc>
          <w:tcPr>
            <w:tcW w:w="1276"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年度预算数</w:t>
            </w:r>
          </w:p>
        </w:tc>
        <w:tc>
          <w:tcPr>
            <w:tcW w:w="2976"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内容描述</w:t>
            </w:r>
          </w:p>
        </w:tc>
        <w:tc>
          <w:tcPr>
            <w:tcW w:w="2976"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绩效目标</w:t>
            </w:r>
          </w:p>
        </w:tc>
        <w:tc>
          <w:tcPr>
            <w:tcW w:w="1417"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绩效指标</w:t>
            </w:r>
          </w:p>
        </w:tc>
        <w:tc>
          <w:tcPr>
            <w:tcW w:w="2948" w:type="dxa"/>
            <w:gridSpan w:val="4"/>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评价标准</w:t>
            </w:r>
          </w:p>
        </w:tc>
      </w:tr>
      <w:tr w:rsidR="00E04E2E" w:rsidRPr="00B8456A">
        <w:trPr>
          <w:trHeight w:val="227"/>
          <w:tblHeader/>
          <w:jc w:val="center"/>
        </w:trPr>
        <w:tc>
          <w:tcPr>
            <w:tcW w:w="2341" w:type="dxa"/>
            <w:vMerge/>
            <w:vAlign w:val="center"/>
          </w:tcPr>
          <w:p w:rsidR="00E04E2E" w:rsidRPr="00B8456A" w:rsidRDefault="00E04E2E">
            <w:pPr>
              <w:spacing w:line="300" w:lineRule="exact"/>
              <w:jc w:val="left"/>
              <w:outlineLvl w:val="0"/>
            </w:pPr>
          </w:p>
        </w:tc>
        <w:tc>
          <w:tcPr>
            <w:tcW w:w="1276" w:type="dxa"/>
            <w:vMerge/>
            <w:vAlign w:val="center"/>
          </w:tcPr>
          <w:p w:rsidR="00E04E2E" w:rsidRPr="00B8456A" w:rsidRDefault="00E04E2E">
            <w:pPr>
              <w:spacing w:line="300" w:lineRule="exact"/>
              <w:jc w:val="left"/>
              <w:outlineLvl w:val="0"/>
            </w:pPr>
          </w:p>
        </w:tc>
        <w:tc>
          <w:tcPr>
            <w:tcW w:w="2976" w:type="dxa"/>
            <w:vMerge/>
            <w:vAlign w:val="center"/>
          </w:tcPr>
          <w:p w:rsidR="00E04E2E" w:rsidRPr="00B8456A" w:rsidRDefault="00E04E2E">
            <w:pPr>
              <w:spacing w:line="300" w:lineRule="exact"/>
              <w:jc w:val="left"/>
              <w:outlineLvl w:val="0"/>
            </w:pPr>
          </w:p>
        </w:tc>
        <w:tc>
          <w:tcPr>
            <w:tcW w:w="2976" w:type="dxa"/>
            <w:vMerge/>
            <w:vAlign w:val="center"/>
          </w:tcPr>
          <w:p w:rsidR="00E04E2E" w:rsidRPr="00B8456A" w:rsidRDefault="00E04E2E">
            <w:pPr>
              <w:spacing w:line="300" w:lineRule="exact"/>
              <w:jc w:val="left"/>
              <w:outlineLvl w:val="0"/>
            </w:pPr>
          </w:p>
        </w:tc>
        <w:tc>
          <w:tcPr>
            <w:tcW w:w="1417" w:type="dxa"/>
            <w:vMerge/>
            <w:vAlign w:val="center"/>
          </w:tcPr>
          <w:p w:rsidR="00E04E2E" w:rsidRPr="00B8456A" w:rsidRDefault="00E04E2E">
            <w:pPr>
              <w:spacing w:line="300" w:lineRule="exact"/>
              <w:jc w:val="left"/>
              <w:outlineLvl w:val="0"/>
            </w:pPr>
          </w:p>
        </w:tc>
        <w:tc>
          <w:tcPr>
            <w:tcW w:w="737"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优</w:t>
            </w:r>
          </w:p>
        </w:tc>
        <w:tc>
          <w:tcPr>
            <w:tcW w:w="737"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良</w:t>
            </w:r>
          </w:p>
        </w:tc>
        <w:tc>
          <w:tcPr>
            <w:tcW w:w="737"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中</w:t>
            </w:r>
          </w:p>
        </w:tc>
        <w:tc>
          <w:tcPr>
            <w:tcW w:w="737"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差</w:t>
            </w:r>
          </w:p>
        </w:tc>
      </w:tr>
      <w:tr w:rsidR="00E04E2E" w:rsidRPr="00B8456A">
        <w:trPr>
          <w:trHeight w:val="227"/>
          <w:jc w:val="center"/>
        </w:trPr>
        <w:tc>
          <w:tcPr>
            <w:tcW w:w="2341"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查办和预防职务犯罪</w:t>
            </w:r>
          </w:p>
        </w:tc>
        <w:tc>
          <w:tcPr>
            <w:tcW w:w="1276" w:type="dxa"/>
            <w:vAlign w:val="center"/>
          </w:tcPr>
          <w:p w:rsidR="00E04E2E" w:rsidRPr="00B8456A" w:rsidRDefault="00E04E2E">
            <w:pPr>
              <w:spacing w:line="300" w:lineRule="exact"/>
              <w:jc w:val="left"/>
              <w:rPr>
                <w:rFonts w:ascii="方正书宋_GBK" w:eastAsia="方正书宋_GBK"/>
              </w:rPr>
            </w:pP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通过查办和预防职务犯罪案件，促进国家工作人员依法行使职权。</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使我县查办贪污贿赂犯罪和渎职侵权犯罪案件工作在全市检察系统位于先进行列</w:t>
            </w:r>
          </w:p>
        </w:tc>
        <w:tc>
          <w:tcPr>
            <w:tcW w:w="1417" w:type="dxa"/>
            <w:vAlign w:val="center"/>
          </w:tcPr>
          <w:p w:rsidR="00E04E2E" w:rsidRPr="00B8456A" w:rsidRDefault="00E04E2E">
            <w:pPr>
              <w:spacing w:line="300" w:lineRule="exact"/>
              <w:jc w:val="left"/>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查办职务犯罪</w:t>
            </w:r>
          </w:p>
        </w:tc>
        <w:tc>
          <w:tcPr>
            <w:tcW w:w="1276" w:type="dxa"/>
            <w:vMerge w:val="restart"/>
            <w:vAlign w:val="center"/>
          </w:tcPr>
          <w:p w:rsidR="00E04E2E" w:rsidRPr="00B8456A" w:rsidRDefault="00E04E2E">
            <w:pPr>
              <w:spacing w:line="300" w:lineRule="exact"/>
              <w:jc w:val="left"/>
              <w:rPr>
                <w:rFonts w:ascii="方正书宋_GBK" w:eastAsia="方正书宋_GBK"/>
              </w:rPr>
            </w:pP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参与办理重大职务犯罪案件的侦查及个案侦查工作；分析全县职务犯罪的特点和规律，提出对策；研究制定全县反贪反渎检察业务工作细则、规定；办理全县在逃职务犯罪案件追逃追赃工作，推进全县侦查信息化和装备现代化建设。</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使我县查办贪污贿赂犯罪和渎职侵权犯罪案件工作在全市检察系统位于先进行列</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查办大要案比率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35%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&lt;35%</w:t>
            </w:r>
          </w:p>
        </w:tc>
      </w:tr>
      <w:tr w:rsidR="00E04E2E" w:rsidRPr="00B8456A">
        <w:trPr>
          <w:trHeight w:val="227"/>
          <w:jc w:val="center"/>
        </w:trPr>
        <w:tc>
          <w:tcPr>
            <w:tcW w:w="2341" w:type="dxa"/>
            <w:vMerge/>
            <w:vAlign w:val="center"/>
          </w:tcPr>
          <w:p w:rsidR="00E04E2E" w:rsidRPr="00B8456A" w:rsidRDefault="00E04E2E">
            <w:pPr>
              <w:spacing w:line="300" w:lineRule="exact"/>
              <w:jc w:val="left"/>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案件侦结率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&lt;55%</w:t>
            </w:r>
          </w:p>
        </w:tc>
      </w:tr>
      <w:tr w:rsidR="00E04E2E" w:rsidRPr="00B8456A">
        <w:trPr>
          <w:trHeight w:val="227"/>
          <w:jc w:val="center"/>
        </w:trPr>
        <w:tc>
          <w:tcPr>
            <w:tcW w:w="2341" w:type="dxa"/>
            <w:vMerge/>
            <w:vAlign w:val="center"/>
          </w:tcPr>
          <w:p w:rsidR="00E04E2E" w:rsidRPr="00B8456A" w:rsidRDefault="00E04E2E">
            <w:pPr>
              <w:spacing w:line="300" w:lineRule="exact"/>
              <w:jc w:val="left"/>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查办全县贪污贿赂犯罪和渎职侵权案件的比例</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&lt;80%</w:t>
            </w: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预防职务犯罪</w:t>
            </w:r>
          </w:p>
        </w:tc>
        <w:tc>
          <w:tcPr>
            <w:tcW w:w="1276" w:type="dxa"/>
            <w:vMerge w:val="restart"/>
            <w:vAlign w:val="center"/>
          </w:tcPr>
          <w:p w:rsidR="00E04E2E" w:rsidRPr="00B8456A" w:rsidRDefault="00E04E2E">
            <w:pPr>
              <w:spacing w:line="300" w:lineRule="exact"/>
              <w:jc w:val="left"/>
              <w:rPr>
                <w:rFonts w:ascii="方正书宋_GBK" w:eastAsia="方正书宋_GBK"/>
              </w:rPr>
            </w:pP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履行检察机关重要的法律监督职能，采取多种方式，预防可能发生的职务犯罪。</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以个案预防、系统预防、专项预防、预防调查等多种形式努力从源头上遏制和减少职务犯罪。</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对职务犯罪了解度</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100%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&lt;90%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预防服务和教育次数</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3</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2</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&lt;2</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行贿犯罪档案查询次数</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3</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2</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&lt;2</w:t>
            </w:r>
          </w:p>
        </w:tc>
      </w:tr>
      <w:tr w:rsidR="00E04E2E" w:rsidRPr="00B8456A">
        <w:trPr>
          <w:trHeight w:val="227"/>
          <w:jc w:val="center"/>
        </w:trPr>
        <w:tc>
          <w:tcPr>
            <w:tcW w:w="2341"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检察监督</w:t>
            </w:r>
          </w:p>
        </w:tc>
        <w:tc>
          <w:tcPr>
            <w:tcW w:w="1276" w:type="dxa"/>
            <w:vAlign w:val="center"/>
          </w:tcPr>
          <w:p w:rsidR="00E04E2E" w:rsidRPr="00B8456A" w:rsidRDefault="00E04E2E">
            <w:pPr>
              <w:spacing w:line="300" w:lineRule="exact"/>
              <w:jc w:val="left"/>
              <w:rPr>
                <w:rFonts w:ascii="方正书宋_GBK" w:eastAsia="方正书宋_GBK"/>
              </w:rPr>
            </w:pP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对侦查机关的侦查活动、人民法院的审判活动、看守所等机关执行刑罚的活动，依法实行法律监督，维护司法公正。</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打击犯罪、保障人权、维护司法公正。</w:t>
            </w:r>
          </w:p>
        </w:tc>
        <w:tc>
          <w:tcPr>
            <w:tcW w:w="1417" w:type="dxa"/>
            <w:vAlign w:val="center"/>
          </w:tcPr>
          <w:p w:rsidR="00E04E2E" w:rsidRPr="00B8456A" w:rsidRDefault="00E04E2E">
            <w:pPr>
              <w:spacing w:line="300" w:lineRule="exact"/>
              <w:jc w:val="left"/>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侦查监督</w:t>
            </w:r>
          </w:p>
        </w:tc>
        <w:tc>
          <w:tcPr>
            <w:tcW w:w="1276" w:type="dxa"/>
            <w:vMerge w:val="restart"/>
            <w:vAlign w:val="center"/>
          </w:tcPr>
          <w:p w:rsidR="00E04E2E" w:rsidRPr="00B8456A" w:rsidRDefault="00E04E2E">
            <w:pPr>
              <w:spacing w:line="300" w:lineRule="exact"/>
              <w:jc w:val="left"/>
              <w:rPr>
                <w:rFonts w:ascii="方正书宋_GBK" w:eastAsia="方正书宋_GBK"/>
              </w:rPr>
            </w:pP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侦查监督职能的行使贯穿刑事立案到侦查终结全过程。主要包括审查逮捕、立案监督和侦查活动监督等职能。</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打击犯罪、保障人权、维护司法公正。</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批延准确率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100%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98%</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&lt;95%</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错捕、捕后撤案、不起诉、判无罪率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3%</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&gt;5%</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立案和侦查活动监督完成率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&lt;70%</w:t>
            </w: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公诉和审判监督</w:t>
            </w:r>
          </w:p>
        </w:tc>
        <w:tc>
          <w:tcPr>
            <w:tcW w:w="1276" w:type="dxa"/>
            <w:vMerge w:val="restart"/>
            <w:vAlign w:val="center"/>
          </w:tcPr>
          <w:p w:rsidR="00E04E2E" w:rsidRPr="00B8456A" w:rsidRDefault="00E04E2E">
            <w:pPr>
              <w:spacing w:line="300" w:lineRule="exact"/>
              <w:jc w:val="left"/>
              <w:rPr>
                <w:rFonts w:ascii="方正书宋_GBK" w:eastAsia="方正书宋_GBK"/>
              </w:rPr>
            </w:pP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审查起诉出庭支持公诉</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全面审查案件事实，核实证据，依法提出审查意见，打击犯罪，保障人权，维护司法公正。</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出庭意见采纳数</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ign w:val="center"/>
          </w:tcPr>
          <w:p w:rsidR="00E04E2E" w:rsidRPr="00B8456A" w:rsidRDefault="00E04E2E">
            <w:pPr>
              <w:spacing w:line="300" w:lineRule="exact"/>
              <w:jc w:val="left"/>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诉讼期限内审结案件占全部案件比例</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&lt;70%</w:t>
            </w:r>
          </w:p>
        </w:tc>
      </w:tr>
      <w:tr w:rsidR="00E04E2E" w:rsidRPr="00B8456A">
        <w:trPr>
          <w:trHeight w:val="227"/>
          <w:jc w:val="center"/>
        </w:trPr>
        <w:tc>
          <w:tcPr>
            <w:tcW w:w="2341" w:type="dxa"/>
            <w:vMerge/>
            <w:vAlign w:val="center"/>
          </w:tcPr>
          <w:p w:rsidR="00E04E2E" w:rsidRPr="00B8456A" w:rsidRDefault="00E04E2E">
            <w:pPr>
              <w:spacing w:line="300" w:lineRule="exact"/>
              <w:jc w:val="left"/>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办理案件数</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100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&lt;50</w:t>
            </w: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民事行政诉讼监督</w:t>
            </w:r>
          </w:p>
        </w:tc>
        <w:tc>
          <w:tcPr>
            <w:tcW w:w="1276" w:type="dxa"/>
            <w:vMerge w:val="restart"/>
            <w:vAlign w:val="center"/>
          </w:tcPr>
          <w:p w:rsidR="00E04E2E" w:rsidRPr="00B8456A" w:rsidRDefault="00E04E2E">
            <w:pPr>
              <w:spacing w:line="300" w:lineRule="exact"/>
              <w:jc w:val="left"/>
              <w:rPr>
                <w:rFonts w:ascii="方正书宋_GBK" w:eastAsia="方正书宋_GBK"/>
              </w:rPr>
            </w:pP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依法对民事诉讼和行政诉讼实行法律监督，维护司法公正和司法权威，保障国家法律的统一正确实施</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加大办案力度，提高办案质量。</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检察建议采纳率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不支持监督申请决定息讼息访率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30%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&lt;30%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案件审结率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刑事执行检察</w:t>
            </w:r>
          </w:p>
        </w:tc>
        <w:tc>
          <w:tcPr>
            <w:tcW w:w="1276" w:type="dxa"/>
            <w:vAlign w:val="center"/>
          </w:tcPr>
          <w:p w:rsidR="00E04E2E" w:rsidRPr="00B8456A" w:rsidRDefault="00E04E2E">
            <w:pPr>
              <w:spacing w:line="300" w:lineRule="exact"/>
              <w:jc w:val="left"/>
              <w:rPr>
                <w:rFonts w:ascii="方正书宋_GBK" w:eastAsia="方正书宋_GBK"/>
              </w:rPr>
            </w:pP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保障刑罚执行和刑事执行活动的依法有序进行。</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纠正意见或建议的采纳率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&lt;80%</w:t>
            </w: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未成年人刑事检察</w:t>
            </w:r>
          </w:p>
        </w:tc>
        <w:tc>
          <w:tcPr>
            <w:tcW w:w="1276" w:type="dxa"/>
            <w:vMerge w:val="restart"/>
            <w:vAlign w:val="center"/>
          </w:tcPr>
          <w:p w:rsidR="00E04E2E" w:rsidRPr="00B8456A" w:rsidRDefault="00E04E2E">
            <w:pPr>
              <w:spacing w:line="300" w:lineRule="exact"/>
              <w:jc w:val="center"/>
              <w:rPr>
                <w:rFonts w:ascii="方正书宋_GBK" w:eastAsia="方正书宋_GBK"/>
              </w:rPr>
            </w:pPr>
          </w:p>
        </w:tc>
        <w:tc>
          <w:tcPr>
            <w:tcW w:w="2976" w:type="dxa"/>
            <w:vMerge w:val="restart"/>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办理全县检察机关未成年人犯罪案件的审查逮捕、审查起诉工作，依法履行立案监督、侦查活动监督、审判监督、执行监督职能；开展预防未成年人犯罪综合治理工作；依法保护刑事案件未成年被害人的合法权益。</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使我县未检在全市检察机关位于先进行列</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特殊检察制度适用率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30%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&lt;30%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附条件不起诉率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&lt;1%</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不捕、不诉率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30%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20%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&lt;20%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未成年人刑事案件办理率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&lt;80%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案件办结率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司法辅助</w:t>
            </w:r>
          </w:p>
        </w:tc>
        <w:tc>
          <w:tcPr>
            <w:tcW w:w="1276" w:type="dxa"/>
            <w:vMerge w:val="restart"/>
            <w:vAlign w:val="center"/>
          </w:tcPr>
          <w:p w:rsidR="00E04E2E" w:rsidRPr="00B8456A" w:rsidRDefault="00E04E2E">
            <w:pPr>
              <w:spacing w:line="300" w:lineRule="exact"/>
              <w:jc w:val="center"/>
              <w:rPr>
                <w:rFonts w:ascii="方正书宋_GBK" w:eastAsia="方正书宋_GBK"/>
              </w:rPr>
            </w:pPr>
          </w:p>
        </w:tc>
        <w:tc>
          <w:tcPr>
            <w:tcW w:w="2976" w:type="dxa"/>
            <w:vMerge w:val="restart"/>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保障办案安全；开展全县检察机关技术工作和物证检验、鉴定、审核等工作。</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加强各项检察辅助职能，为检察业务提供有力保障。</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法警装备购置率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出警及时率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司法鉴定案件办结率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&lt;45%</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center"/>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出警次数</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75%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&lt;45%</w:t>
            </w:r>
          </w:p>
        </w:tc>
      </w:tr>
      <w:tr w:rsidR="00E04E2E" w:rsidRPr="00B8456A">
        <w:trPr>
          <w:trHeight w:val="227"/>
          <w:jc w:val="center"/>
        </w:trPr>
        <w:tc>
          <w:tcPr>
            <w:tcW w:w="2341"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控告和刑事申诉检察</w:t>
            </w:r>
          </w:p>
        </w:tc>
        <w:tc>
          <w:tcPr>
            <w:tcW w:w="1276" w:type="dxa"/>
            <w:vAlign w:val="center"/>
          </w:tcPr>
          <w:p w:rsidR="00E04E2E" w:rsidRPr="00B8456A" w:rsidRDefault="00E04E2E">
            <w:pPr>
              <w:spacing w:line="300" w:lineRule="exact"/>
              <w:jc w:val="center"/>
              <w:rPr>
                <w:rFonts w:ascii="方正书宋_GBK" w:eastAsia="方正书宋_GBK"/>
              </w:rPr>
            </w:pPr>
          </w:p>
        </w:tc>
        <w:tc>
          <w:tcPr>
            <w:tcW w:w="2976"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受理来信来访、举报、国家赔偿、司法救助工作，受理民事监督案件，办理县院管辖的信访、举报案件、国家赔偿、司法救助案件以及上级机关交办、转办、督办案件。</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构建依法有序信访秩序，及时依法解决群众诉求。</w:t>
            </w:r>
          </w:p>
        </w:tc>
        <w:tc>
          <w:tcPr>
            <w:tcW w:w="1417" w:type="dxa"/>
            <w:vAlign w:val="center"/>
          </w:tcPr>
          <w:p w:rsidR="00E04E2E" w:rsidRPr="00B8456A" w:rsidRDefault="00E04E2E">
            <w:pPr>
              <w:spacing w:line="300" w:lineRule="exact"/>
              <w:jc w:val="left"/>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涉检信访办理</w:t>
            </w:r>
          </w:p>
        </w:tc>
        <w:tc>
          <w:tcPr>
            <w:tcW w:w="1276" w:type="dxa"/>
            <w:vMerge w:val="restart"/>
            <w:vAlign w:val="center"/>
          </w:tcPr>
          <w:p w:rsidR="00E04E2E" w:rsidRPr="00B8456A" w:rsidRDefault="00E04E2E">
            <w:pPr>
              <w:spacing w:line="300" w:lineRule="exact"/>
              <w:jc w:val="center"/>
              <w:rPr>
                <w:rFonts w:ascii="方正书宋_GBK" w:eastAsia="方正书宋_GBK"/>
              </w:rPr>
            </w:pPr>
          </w:p>
        </w:tc>
        <w:tc>
          <w:tcPr>
            <w:tcW w:w="2976" w:type="dxa"/>
            <w:vMerge w:val="restart"/>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构建依法有序信访秩序，及时依法解决群众诉求。</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错案率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&gt;15%</w:t>
            </w:r>
          </w:p>
        </w:tc>
      </w:tr>
      <w:tr w:rsidR="00E04E2E" w:rsidRPr="00B8456A">
        <w:trPr>
          <w:trHeight w:val="227"/>
          <w:jc w:val="center"/>
        </w:trPr>
        <w:tc>
          <w:tcPr>
            <w:tcW w:w="2341" w:type="dxa"/>
            <w:vMerge/>
            <w:vAlign w:val="center"/>
          </w:tcPr>
          <w:p w:rsidR="00E04E2E" w:rsidRPr="00B8456A" w:rsidRDefault="00E04E2E">
            <w:pPr>
              <w:spacing w:line="300" w:lineRule="exact"/>
              <w:jc w:val="left"/>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法定期限内办结率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ign w:val="center"/>
          </w:tcPr>
          <w:p w:rsidR="00E04E2E" w:rsidRPr="00B8456A" w:rsidRDefault="00E04E2E">
            <w:pPr>
              <w:spacing w:line="300" w:lineRule="exact"/>
              <w:jc w:val="left"/>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有效化解涉检信访矛盾率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restart"/>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举报管理、涉检国家赔偿和司法救助</w:t>
            </w:r>
          </w:p>
        </w:tc>
        <w:tc>
          <w:tcPr>
            <w:tcW w:w="1276" w:type="dxa"/>
            <w:vMerge w:val="restart"/>
            <w:vAlign w:val="center"/>
          </w:tcPr>
          <w:p w:rsidR="00E04E2E" w:rsidRPr="00B8456A" w:rsidRDefault="00E04E2E">
            <w:pPr>
              <w:spacing w:line="300" w:lineRule="exact"/>
              <w:jc w:val="left"/>
              <w:rPr>
                <w:rFonts w:ascii="方正书宋_GBK" w:eastAsia="方正书宋_GBK"/>
              </w:rPr>
            </w:pP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受理初核对国家工作人员职务犯罪的举报；统一办理人民检察院作为赔偿义务机关的刑事赔偿案件，对人民法院赔偿委员会判决、裁定进行监督，开展司法救助工作。</w:t>
            </w:r>
          </w:p>
        </w:tc>
        <w:tc>
          <w:tcPr>
            <w:tcW w:w="2976" w:type="dxa"/>
            <w:vMerge w:val="restart"/>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加强和改进举报工作，保护被赔偿人和被救助人合法权益。</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法定期限内办结率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100%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&lt;90%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举报移送立案率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40%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30%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&lt;30%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涉检国家赔偿错案率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15%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&gt;15%</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举报线索处置率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100%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&lt;90%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涉检国家赔偿率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Merge/>
            <w:vAlign w:val="center"/>
          </w:tcPr>
          <w:p w:rsidR="00E04E2E" w:rsidRPr="00B8456A" w:rsidRDefault="00E04E2E">
            <w:pPr>
              <w:spacing w:line="300" w:lineRule="exact"/>
              <w:jc w:val="center"/>
              <w:rPr>
                <w:rFonts w:ascii="方正书宋_GBK" w:eastAsia="方正书宋_GBK"/>
                <w:b/>
              </w:rPr>
            </w:pPr>
          </w:p>
        </w:tc>
        <w:tc>
          <w:tcPr>
            <w:tcW w:w="12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2976" w:type="dxa"/>
            <w:vMerge/>
            <w:vAlign w:val="center"/>
          </w:tcPr>
          <w:p w:rsidR="00E04E2E" w:rsidRPr="00B8456A" w:rsidRDefault="00E04E2E">
            <w:pPr>
              <w:spacing w:line="300" w:lineRule="exact"/>
              <w:jc w:val="left"/>
              <w:rPr>
                <w:rFonts w:ascii="方正书宋_GBK" w:eastAsia="方正书宋_GBK"/>
              </w:rPr>
            </w:pP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司法救助率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80%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60%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&lt;60%</w:t>
            </w:r>
          </w:p>
        </w:tc>
      </w:tr>
      <w:tr w:rsidR="00E04E2E" w:rsidRPr="00B8456A">
        <w:trPr>
          <w:trHeight w:val="227"/>
          <w:jc w:val="center"/>
        </w:trPr>
        <w:tc>
          <w:tcPr>
            <w:tcW w:w="2341"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检察事务管理</w:t>
            </w:r>
          </w:p>
        </w:tc>
        <w:tc>
          <w:tcPr>
            <w:tcW w:w="12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rPr>
              <w:t>744.50</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承担系统综合业务管理和综合事务管理工作</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提高执法水平和办案质量、提升检察机关法律监督能力。</w:t>
            </w:r>
          </w:p>
        </w:tc>
        <w:tc>
          <w:tcPr>
            <w:tcW w:w="1417" w:type="dxa"/>
            <w:vAlign w:val="center"/>
          </w:tcPr>
          <w:p w:rsidR="00E04E2E" w:rsidRPr="00B8456A" w:rsidRDefault="00E04E2E">
            <w:pPr>
              <w:spacing w:line="300" w:lineRule="exact"/>
              <w:jc w:val="left"/>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c>
          <w:tcPr>
            <w:tcW w:w="737" w:type="dxa"/>
            <w:vAlign w:val="center"/>
          </w:tcPr>
          <w:p w:rsidR="00E04E2E" w:rsidRPr="00B8456A" w:rsidRDefault="00E04E2E">
            <w:pPr>
              <w:spacing w:line="300" w:lineRule="exact"/>
              <w:jc w:val="center"/>
              <w:rPr>
                <w:rFonts w:ascii="方正书宋_GBK" w:eastAsia="方正书宋_GBK"/>
              </w:rPr>
            </w:pPr>
          </w:p>
        </w:tc>
      </w:tr>
      <w:tr w:rsidR="00E04E2E" w:rsidRPr="00B8456A">
        <w:trPr>
          <w:trHeight w:val="2365"/>
          <w:jc w:val="center"/>
        </w:trPr>
        <w:tc>
          <w:tcPr>
            <w:tcW w:w="2341" w:type="dxa"/>
            <w:vAlign w:val="center"/>
          </w:tcPr>
          <w:p w:rsidR="00E04E2E" w:rsidRPr="00B8456A" w:rsidRDefault="00E04E2E">
            <w:pPr>
              <w:spacing w:line="300" w:lineRule="exact"/>
              <w:jc w:val="center"/>
              <w:rPr>
                <w:rFonts w:ascii="方正书宋_GBK" w:eastAsia="方正书宋_GBK"/>
                <w:b/>
              </w:rPr>
            </w:pPr>
            <w:r w:rsidRPr="00B8456A">
              <w:rPr>
                <w:rFonts w:ascii="方正书宋_GBK" w:eastAsia="方正书宋_GBK" w:hint="eastAsia"/>
                <w:b/>
              </w:rPr>
              <w:t>综合业务管理</w:t>
            </w:r>
          </w:p>
        </w:tc>
        <w:tc>
          <w:tcPr>
            <w:tcW w:w="12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rPr>
              <w:t>553.00</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确定全县检察阶段性的工作重点和措施，部署检察工作任务；进行案件质量保证体系建设；开展涉农检察工作；参与社会管理综合治理等工作；推进行政执法与刑事司法无缝对接；进行法律政策研究工作；加强人民监督员和人大代表监督；统筹进行网络信息化建设；开展检察宣传工作；推进检务公开。</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提高执法水平和办案质量、提升检察机关法律监督能力。</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各项综合业务管理工作完成率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100%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&lt;90%</w:t>
            </w:r>
          </w:p>
        </w:tc>
      </w:tr>
      <w:tr w:rsidR="00E04E2E" w:rsidRPr="00B8456A">
        <w:trPr>
          <w:trHeight w:val="1860"/>
          <w:jc w:val="center"/>
        </w:trPr>
        <w:tc>
          <w:tcPr>
            <w:tcW w:w="2341" w:type="dxa"/>
            <w:vAlign w:val="center"/>
          </w:tcPr>
          <w:p w:rsidR="00E04E2E" w:rsidRPr="00B8456A" w:rsidRDefault="00E04E2E">
            <w:pPr>
              <w:spacing w:line="300" w:lineRule="exact"/>
              <w:jc w:val="left"/>
              <w:rPr>
                <w:rFonts w:ascii="方正书宋_GBK" w:eastAsia="方正书宋_GBK"/>
                <w:b/>
              </w:rPr>
            </w:pPr>
            <w:r w:rsidRPr="00B8456A">
              <w:rPr>
                <w:rFonts w:ascii="方正书宋_GBK" w:eastAsia="方正书宋_GBK" w:hint="eastAsia"/>
                <w:b/>
              </w:rPr>
              <w:t xml:space="preserve">　　综合事务管理</w:t>
            </w:r>
          </w:p>
        </w:tc>
        <w:tc>
          <w:tcPr>
            <w:tcW w:w="12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rPr>
              <w:t>191.50</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开展全县检察人员的教育培训工作和对外交流工作；进行检察装备建设及维护；配备制式检察服装及法警服装；进行基础设施建设和维护。</w:t>
            </w:r>
          </w:p>
        </w:tc>
        <w:tc>
          <w:tcPr>
            <w:tcW w:w="2976"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为检察工作顺利开展提供保障。</w:t>
            </w:r>
          </w:p>
        </w:tc>
        <w:tc>
          <w:tcPr>
            <w:tcW w:w="1417" w:type="dxa"/>
            <w:vAlign w:val="center"/>
          </w:tcPr>
          <w:p w:rsidR="00E04E2E" w:rsidRPr="00B8456A" w:rsidRDefault="00E04E2E">
            <w:pPr>
              <w:spacing w:line="300" w:lineRule="exact"/>
              <w:jc w:val="left"/>
              <w:rPr>
                <w:rFonts w:ascii="方正书宋_GBK" w:eastAsia="方正书宋_GBK"/>
              </w:rPr>
            </w:pPr>
            <w:r w:rsidRPr="00B8456A">
              <w:rPr>
                <w:rFonts w:ascii="方正书宋_GBK" w:eastAsia="方正书宋_GBK" w:hint="eastAsia"/>
              </w:rPr>
              <w:t>各项综合事务工作完成率</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100%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95%</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hint="eastAsia"/>
              </w:rPr>
              <w:t>≥</w:t>
            </w:r>
            <w:r w:rsidRPr="00B8456A">
              <w:rPr>
                <w:rFonts w:ascii="方正书宋_GBK" w:eastAsia="方正书宋_GBK"/>
              </w:rPr>
              <w:t>90%</w:t>
            </w:r>
          </w:p>
        </w:tc>
        <w:tc>
          <w:tcPr>
            <w:tcW w:w="737" w:type="dxa"/>
            <w:vAlign w:val="center"/>
          </w:tcPr>
          <w:p w:rsidR="00E04E2E" w:rsidRPr="00B8456A" w:rsidRDefault="00E04E2E">
            <w:pPr>
              <w:spacing w:line="300" w:lineRule="exact"/>
              <w:jc w:val="center"/>
              <w:rPr>
                <w:rFonts w:ascii="方正书宋_GBK" w:eastAsia="方正书宋_GBK"/>
              </w:rPr>
            </w:pPr>
            <w:r w:rsidRPr="00B8456A">
              <w:rPr>
                <w:rFonts w:ascii="方正书宋_GBK" w:eastAsia="方正书宋_GBK"/>
              </w:rPr>
              <w:t>&lt;90%</w:t>
            </w:r>
          </w:p>
        </w:tc>
      </w:tr>
    </w:tbl>
    <w:bookmarkEnd w:id="1"/>
    <w:p w:rsidR="00E04E2E" w:rsidRDefault="00E04E2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E04E2E" w:rsidRDefault="00E04E2E">
      <w:pPr>
        <w:outlineLvl w:val="0"/>
        <w:rPr>
          <w:rFonts w:ascii="??_GB2312" w:eastAsia="Times New Roman" w:hAnsi="Times New Roman"/>
          <w:sz w:val="32"/>
          <w:szCs w:val="24"/>
        </w:rPr>
      </w:pPr>
      <w:bookmarkStart w:id="2" w:name="_Toc471398468"/>
      <w:r>
        <w:rPr>
          <w:rFonts w:ascii="Times New Roman" w:eastAsia="方正仿宋_GBK" w:hAnsi="Times New Roman"/>
          <w:sz w:val="32"/>
          <w:szCs w:val="24"/>
        </w:rPr>
        <w:t xml:space="preserve">    </w:t>
      </w:r>
      <w:r>
        <w:rPr>
          <w:rFonts w:ascii="仿宋" w:eastAsia="仿宋" w:hAnsi="仿宋" w:cs="仿宋"/>
          <w:sz w:val="32"/>
          <w:szCs w:val="24"/>
        </w:rPr>
        <w:t>2017</w:t>
      </w:r>
      <w:r>
        <w:rPr>
          <w:rFonts w:ascii="仿宋" w:eastAsia="仿宋" w:hAnsi="仿宋" w:cs="仿宋" w:hint="eastAsia"/>
          <w:sz w:val="32"/>
          <w:szCs w:val="24"/>
        </w:rPr>
        <w:t>年，我部门安排政府采购预算</w:t>
      </w:r>
      <w:r>
        <w:rPr>
          <w:rFonts w:ascii="仿宋" w:eastAsia="仿宋" w:hAnsi="仿宋" w:cs="仿宋"/>
          <w:kern w:val="0"/>
          <w:sz w:val="32"/>
          <w:szCs w:val="32"/>
          <w:lang/>
        </w:rPr>
        <w:t>104.8</w:t>
      </w:r>
      <w:r>
        <w:rPr>
          <w:rFonts w:ascii="仿宋" w:eastAsia="仿宋" w:hAnsi="仿宋" w:cs="仿宋" w:hint="eastAsia"/>
          <w:sz w:val="32"/>
          <w:szCs w:val="24"/>
        </w:rPr>
        <w:t>万元。具体内容见下表。</w:t>
      </w:r>
    </w:p>
    <w:bookmarkEnd w:id="2"/>
    <w:p w:rsidR="00E04E2E" w:rsidRDefault="00E04E2E">
      <w:pPr>
        <w:jc w:val="center"/>
        <w:outlineLvl w:val="0"/>
        <w:rPr>
          <w:rFonts w:ascii="Verdana" w:hAnsi="Verdana" w:cs="Verdana"/>
          <w:szCs w:val="21"/>
        </w:rPr>
      </w:pPr>
      <w:r>
        <w:rPr>
          <w:rFonts w:ascii="方正小标宋_GBK" w:eastAsia="方正小标宋_GBK" w:hint="eastAsia"/>
          <w:sz w:val="32"/>
        </w:rPr>
        <w:t>部门政府采购预算</w:t>
      </w:r>
      <w:r>
        <w:rPr>
          <w:rFonts w:ascii="Verdana" w:hAnsi="Verdana" w:cs="Verdana"/>
          <w:kern w:val="0"/>
          <w:szCs w:val="21"/>
          <w:lang/>
        </w:rPr>
        <w:t> </w:t>
      </w:r>
    </w:p>
    <w:tbl>
      <w:tblPr>
        <w:tblW w:w="13791" w:type="dxa"/>
        <w:jc w:val="center"/>
        <w:tblLayout w:type="fixed"/>
        <w:tblCellMar>
          <w:top w:w="15" w:type="dxa"/>
          <w:left w:w="15" w:type="dxa"/>
          <w:bottom w:w="15" w:type="dxa"/>
          <w:right w:w="15" w:type="dxa"/>
        </w:tblCellMar>
        <w:tblLook w:val="00A0"/>
      </w:tblPr>
      <w:tblGrid>
        <w:gridCol w:w="2259"/>
        <w:gridCol w:w="1014"/>
        <w:gridCol w:w="840"/>
        <w:gridCol w:w="1178"/>
        <w:gridCol w:w="994"/>
        <w:gridCol w:w="841"/>
        <w:gridCol w:w="861"/>
        <w:gridCol w:w="841"/>
        <w:gridCol w:w="841"/>
        <w:gridCol w:w="842"/>
        <w:gridCol w:w="842"/>
        <w:gridCol w:w="842"/>
        <w:gridCol w:w="842"/>
        <w:gridCol w:w="754"/>
      </w:tblGrid>
      <w:tr w:rsidR="00E04E2E" w:rsidRPr="00B8456A">
        <w:trPr>
          <w:tblHeader/>
          <w:jc w:val="center"/>
        </w:trPr>
        <w:tc>
          <w:tcPr>
            <w:tcW w:w="7987" w:type="dxa"/>
            <w:gridSpan w:val="7"/>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sidRPr="00B8456A">
              <w:rPr>
                <w:rFonts w:ascii="方正小标宋_GBK" w:eastAsia="方正小标宋_GBK"/>
                <w:sz w:val="24"/>
              </w:rPr>
              <w:t>404</w:t>
            </w:r>
            <w:r w:rsidRPr="00B8456A">
              <w:rPr>
                <w:rFonts w:ascii="方正小标宋_GBK" w:eastAsia="方正小标宋_GBK" w:hint="eastAsia"/>
                <w:sz w:val="24"/>
              </w:rPr>
              <w:t>霸州市人民检察院</w:t>
            </w:r>
          </w:p>
        </w:tc>
        <w:tc>
          <w:tcPr>
            <w:tcW w:w="5804" w:type="dxa"/>
            <w:gridSpan w:val="7"/>
            <w:tcBorders>
              <w:top w:val="single" w:sz="8" w:space="0" w:color="FFFFFF"/>
              <w:left w:val="nil"/>
              <w:bottom w:val="single" w:sz="8" w:space="0" w:color="000000"/>
              <w:right w:val="single" w:sz="8" w:space="0" w:color="FFFFFF"/>
            </w:tcBorders>
            <w:tcMar>
              <w:top w:w="0" w:type="dxa"/>
              <w:left w:w="108" w:type="dxa"/>
              <w:bottom w:w="0" w:type="dxa"/>
              <w:right w:w="108" w:type="dxa"/>
            </w:tcMar>
            <w:vAlign w:val="center"/>
          </w:tcPr>
          <w:p w:rsidR="00E04E2E" w:rsidRPr="00B8456A" w:rsidRDefault="00E04E2E">
            <w:pPr>
              <w:widowControl/>
              <w:wordWrap w:val="0"/>
              <w:spacing w:line="300" w:lineRule="atLeast"/>
              <w:ind w:firstLineChars="1800" w:firstLine="4320"/>
              <w:jc w:val="left"/>
              <w:rPr>
                <w:rFonts w:ascii="方正小标宋_GBK" w:eastAsia="方正小标宋_GBK"/>
                <w:sz w:val="24"/>
              </w:rPr>
            </w:pPr>
            <w:r w:rsidRPr="00B8456A">
              <w:rPr>
                <w:rFonts w:ascii="方正小标宋_GBK" w:eastAsia="方正小标宋_GBK" w:hint="eastAsia"/>
                <w:sz w:val="24"/>
              </w:rPr>
              <w:t>单位：万元</w:t>
            </w:r>
          </w:p>
        </w:tc>
      </w:tr>
      <w:tr w:rsidR="00E04E2E" w:rsidRPr="00B8456A">
        <w:trPr>
          <w:tblHeader/>
          <w:jc w:val="center"/>
        </w:trPr>
        <w:tc>
          <w:tcPr>
            <w:tcW w:w="327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政府采购项目来源</w:t>
            </w:r>
          </w:p>
        </w:tc>
        <w:tc>
          <w:tcPr>
            <w:tcW w:w="84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采购物品名称</w:t>
            </w:r>
          </w:p>
        </w:tc>
        <w:tc>
          <w:tcPr>
            <w:tcW w:w="117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政府采购目录序号</w:t>
            </w:r>
          </w:p>
        </w:tc>
        <w:tc>
          <w:tcPr>
            <w:tcW w:w="99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数量</w:t>
            </w:r>
            <w:r>
              <w:rPr>
                <w:rFonts w:ascii="Verdana" w:hAnsi="Verdana" w:cs="Verdana"/>
                <w:b/>
                <w:kern w:val="0"/>
                <w:szCs w:val="21"/>
                <w:lang/>
              </w:rPr>
              <w:t>  </w:t>
            </w:r>
            <w:r>
              <w:rPr>
                <w:rFonts w:ascii="Verdana" w:hAnsi="Verdana" w:cs="Verdana" w:hint="eastAsia"/>
                <w:b/>
                <w:kern w:val="0"/>
                <w:szCs w:val="21"/>
                <w:lang/>
              </w:rPr>
              <w:t>单位</w:t>
            </w:r>
          </w:p>
        </w:tc>
        <w:tc>
          <w:tcPr>
            <w:tcW w:w="8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数量</w:t>
            </w:r>
          </w:p>
        </w:tc>
        <w:tc>
          <w:tcPr>
            <w:tcW w:w="86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单价</w:t>
            </w:r>
          </w:p>
        </w:tc>
        <w:tc>
          <w:tcPr>
            <w:tcW w:w="5804" w:type="dxa"/>
            <w:gridSpan w:val="7"/>
            <w:tcBorders>
              <w:top w:val="single" w:sz="8" w:space="0" w:color="000000"/>
              <w:left w:val="nil"/>
              <w:bottom w:val="nil"/>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政府采购金额</w:t>
            </w:r>
          </w:p>
        </w:tc>
      </w:tr>
      <w:tr w:rsidR="00E04E2E" w:rsidRPr="00B8456A">
        <w:trPr>
          <w:tblHeader/>
          <w:jc w:val="center"/>
        </w:trPr>
        <w:tc>
          <w:tcPr>
            <w:tcW w:w="225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项目名称</w:t>
            </w:r>
          </w:p>
        </w:tc>
        <w:tc>
          <w:tcPr>
            <w:tcW w:w="101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预算资金</w:t>
            </w:r>
          </w:p>
        </w:tc>
        <w:tc>
          <w:tcPr>
            <w:tcW w:w="840"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1178"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994"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41"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61"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总计</w:t>
            </w:r>
          </w:p>
        </w:tc>
        <w:tc>
          <w:tcPr>
            <w:tcW w:w="4209"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当年部门预算安排资金</w:t>
            </w:r>
          </w:p>
        </w:tc>
        <w:tc>
          <w:tcPr>
            <w:tcW w:w="75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其他渠道资金</w:t>
            </w:r>
          </w:p>
        </w:tc>
      </w:tr>
      <w:tr w:rsidR="00E04E2E" w:rsidRPr="00B8456A">
        <w:trPr>
          <w:tblHeader/>
          <w:jc w:val="center"/>
        </w:trPr>
        <w:tc>
          <w:tcPr>
            <w:tcW w:w="225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1014"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40"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1178"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994"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41"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61"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41"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合计</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一般公共预算拨款</w:t>
            </w:r>
          </w:p>
        </w:tc>
        <w:tc>
          <w:tcPr>
            <w:tcW w:w="8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基金预算拨款</w:t>
            </w:r>
          </w:p>
        </w:tc>
        <w:tc>
          <w:tcPr>
            <w:tcW w:w="8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财政专户核拨</w:t>
            </w:r>
          </w:p>
        </w:tc>
        <w:tc>
          <w:tcPr>
            <w:tcW w:w="8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其他来源收入</w:t>
            </w:r>
          </w:p>
        </w:tc>
        <w:tc>
          <w:tcPr>
            <w:tcW w:w="754"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rPr>
                <w:rFonts w:ascii="Verdana" w:hAnsi="Verdana" w:cs="Verdana"/>
                <w:sz w:val="18"/>
                <w:szCs w:val="18"/>
              </w:rPr>
            </w:pP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center"/>
              <w:rPr>
                <w:rFonts w:ascii="Verdana" w:hAnsi="Verdana" w:cs="Verdana"/>
                <w:sz w:val="18"/>
                <w:szCs w:val="18"/>
              </w:rPr>
            </w:pPr>
            <w:r>
              <w:rPr>
                <w:rFonts w:ascii="Verdana" w:hAnsi="Verdana" w:cs="Verdana" w:hint="eastAsia"/>
                <w:b/>
                <w:kern w:val="0"/>
                <w:szCs w:val="21"/>
                <w:lang/>
              </w:rPr>
              <w:t>霸州市人民检察院小计</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 w:val="18"/>
                <w:szCs w:val="18"/>
                <w:lang/>
              </w:rPr>
              <w:t> </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b/>
                <w:kern w:val="0"/>
                <w:sz w:val="18"/>
                <w:szCs w:val="18"/>
                <w:lang/>
              </w:rPr>
              <w:t> </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b/>
                <w:kern w:val="0"/>
                <w:sz w:val="18"/>
                <w:szCs w:val="18"/>
                <w:lang/>
              </w:rPr>
              <w:t> </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b/>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 w:val="18"/>
                <w:szCs w:val="18"/>
                <w:lang/>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Cs w:val="21"/>
                <w:lang/>
              </w:rPr>
              <w:t>104.80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Cs w:val="21"/>
                <w:lang/>
              </w:rPr>
              <w:t>104.80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Cs w:val="21"/>
                <w:lang/>
              </w:rPr>
              <w:t>104.80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b/>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计算机设备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50</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0.41</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20.50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20.50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20.50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打印设备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A02010601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32</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12.80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12.80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12.80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trHeight w:val="459"/>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通用设备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31.50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31.50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31.50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31.50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办公设备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0.23</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0.46</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0.46</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0.46</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打印设备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A02010601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0.25</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0.50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办公设备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0.11</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0.22</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打印设备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A02010601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计算机设备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7</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0.41</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2.87</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2.87</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2.87</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移动存储设备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A02010508</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0.04</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0.08</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0.08</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0.08</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存储设备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A020105</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0.02</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0.02</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计算机设备及软件</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0.05</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0.05</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0.05</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0.05</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办公设备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0.04</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0.08</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0.08</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0.08</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照相机及器材</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A020205</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0.16</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0.32</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0.32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0.32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移动存储设备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A02010508</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25</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0.04</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1.00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1.00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1.00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通用设备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10</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0.23</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2.30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2.30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2.30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移动存储设备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A02010508</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10</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0.09</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0.90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0.90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0.90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办公设备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0.09</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0.27</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0.27</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0.27</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计算机设备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A020101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19</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0.43</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8.17</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8.17</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8.17</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复印机</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A020201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4</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0.86</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3.44</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3.44</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3.44</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通用设备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8.80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8.80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8.80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8.80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通用设备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6.50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6.50</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6.50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6.50</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r w:rsidR="00E04E2E" w:rsidRPr="00B8456A">
        <w:trPr>
          <w:jc w:val="center"/>
        </w:trPr>
        <w:tc>
          <w:tcPr>
            <w:tcW w:w="22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关于提前下达</w:t>
            </w:r>
            <w:r>
              <w:rPr>
                <w:rFonts w:ascii="Verdana" w:hAnsi="Verdana" w:cs="Verdana"/>
                <w:kern w:val="0"/>
                <w:szCs w:val="21"/>
                <w:lang/>
              </w:rPr>
              <w:t>2017</w:t>
            </w:r>
            <w:r>
              <w:rPr>
                <w:rFonts w:ascii="Verdana" w:hAnsi="Verdana" w:cs="Verdana" w:hint="eastAsia"/>
                <w:kern w:val="0"/>
                <w:szCs w:val="21"/>
                <w:lang/>
              </w:rPr>
              <w:t>年中央政法转移支付资金的通知冀财行【</w:t>
            </w:r>
            <w:r>
              <w:rPr>
                <w:rFonts w:ascii="Verdana" w:hAnsi="Verdana" w:cs="Verdana"/>
                <w:kern w:val="0"/>
                <w:szCs w:val="21"/>
                <w:lang/>
              </w:rPr>
              <w:t>2016</w:t>
            </w:r>
            <w:r>
              <w:rPr>
                <w:rFonts w:ascii="Verdana" w:hAnsi="Verdana" w:cs="Verdana" w:hint="eastAsia"/>
                <w:kern w:val="0"/>
                <w:szCs w:val="21"/>
                <w:lang/>
              </w:rPr>
              <w:t>】</w:t>
            </w:r>
            <w:r>
              <w:rPr>
                <w:rFonts w:ascii="Verdana" w:hAnsi="Verdana" w:cs="Verdana"/>
                <w:kern w:val="0"/>
                <w:szCs w:val="21"/>
                <w:lang/>
              </w:rPr>
              <w:t>85</w:t>
            </w:r>
            <w:r>
              <w:rPr>
                <w:rFonts w:ascii="Verdana" w:hAnsi="Verdana" w:cs="Verdana" w:hint="eastAsia"/>
                <w:kern w:val="0"/>
                <w:szCs w:val="21"/>
                <w:lang/>
              </w:rPr>
              <w:t>号</w:t>
            </w:r>
          </w:p>
        </w:tc>
        <w:tc>
          <w:tcPr>
            <w:tcW w:w="1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80.00</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hint="eastAsia"/>
                <w:kern w:val="0"/>
                <w:szCs w:val="21"/>
                <w:lang/>
              </w:rPr>
              <w:t>通用设备</w:t>
            </w:r>
          </w:p>
        </w:tc>
        <w:tc>
          <w:tcPr>
            <w:tcW w:w="11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Cs w:val="21"/>
                <w:lang/>
              </w:rPr>
              <w:t>A02</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left"/>
              <w:rPr>
                <w:rFonts w:ascii="Verdana" w:hAnsi="Verdana" w:cs="Verdana"/>
                <w:sz w:val="18"/>
                <w:szCs w:val="18"/>
              </w:rPr>
            </w:pPr>
            <w:r>
              <w:rPr>
                <w:rFonts w:ascii="Verdana" w:hAnsi="Verdana" w:cs="Verdana"/>
                <w:kern w:val="0"/>
                <w:sz w:val="18"/>
                <w:szCs w:val="18"/>
                <w:lang/>
              </w:rP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1</w:t>
            </w:r>
          </w:p>
        </w:tc>
        <w:tc>
          <w:tcPr>
            <w:tcW w:w="8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3.62</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3.62</w:t>
            </w:r>
          </w:p>
        </w:tc>
        <w:tc>
          <w:tcPr>
            <w:tcW w:w="8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3.62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Cs w:val="21"/>
                <w:lang/>
              </w:rPr>
              <w:t>3.62</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E2E" w:rsidRPr="00B8456A" w:rsidRDefault="00E04E2E">
            <w:pPr>
              <w:widowControl/>
              <w:wordWrap w:val="0"/>
              <w:spacing w:line="300" w:lineRule="atLeast"/>
              <w:jc w:val="right"/>
              <w:rPr>
                <w:rFonts w:ascii="Verdana" w:hAnsi="Verdana" w:cs="Verdana"/>
                <w:sz w:val="18"/>
                <w:szCs w:val="18"/>
              </w:rPr>
            </w:pPr>
            <w:r>
              <w:rPr>
                <w:rFonts w:ascii="Verdana" w:hAnsi="Verdana" w:cs="Verdana"/>
                <w:kern w:val="0"/>
                <w:sz w:val="18"/>
                <w:szCs w:val="18"/>
                <w:lang/>
              </w:rPr>
              <w:t> </w:t>
            </w:r>
          </w:p>
        </w:tc>
      </w:tr>
    </w:tbl>
    <w:p w:rsidR="00E04E2E" w:rsidRDefault="00E04E2E">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七、国有资产信息</w:t>
      </w:r>
    </w:p>
    <w:tbl>
      <w:tblPr>
        <w:tblW w:w="13482" w:type="dxa"/>
        <w:tblInd w:w="93" w:type="dxa"/>
        <w:tblLayout w:type="fixed"/>
        <w:tblLook w:val="00A0"/>
      </w:tblPr>
      <w:tblGrid>
        <w:gridCol w:w="5224"/>
        <w:gridCol w:w="3155"/>
        <w:gridCol w:w="5103"/>
      </w:tblGrid>
      <w:tr w:rsidR="00E04E2E" w:rsidRPr="00B8456A">
        <w:trPr>
          <w:trHeight w:val="705"/>
        </w:trPr>
        <w:tc>
          <w:tcPr>
            <w:tcW w:w="13482" w:type="dxa"/>
            <w:gridSpan w:val="3"/>
            <w:tcBorders>
              <w:top w:val="nil"/>
              <w:left w:val="nil"/>
              <w:bottom w:val="nil"/>
              <w:right w:val="nil"/>
            </w:tcBorders>
            <w:vAlign w:val="center"/>
          </w:tcPr>
          <w:p w:rsidR="00E04E2E" w:rsidRDefault="00E04E2E">
            <w:pPr>
              <w:widowControl/>
              <w:ind w:firstLineChars="200" w:firstLine="640"/>
              <w:jc w:val="left"/>
              <w:rPr>
                <w:rFonts w:ascii="仿宋" w:eastAsia="仿宋" w:hAnsi="仿宋" w:cs="Verdana"/>
                <w:kern w:val="0"/>
                <w:sz w:val="32"/>
                <w:szCs w:val="32"/>
                <w:lang/>
              </w:rPr>
            </w:pPr>
            <w:r>
              <w:rPr>
                <w:rFonts w:ascii="仿宋" w:eastAsia="仿宋" w:hAnsi="仿宋" w:cs="Verdana" w:hint="eastAsia"/>
                <w:kern w:val="0"/>
                <w:sz w:val="32"/>
                <w:szCs w:val="32"/>
                <w:lang/>
              </w:rPr>
              <w:t>霸州市人民检察院上年末固定资产金额为</w:t>
            </w:r>
            <w:r>
              <w:rPr>
                <w:rFonts w:ascii="仿宋" w:eastAsia="仿宋" w:hAnsi="仿宋" w:cs="Verdana"/>
                <w:kern w:val="0"/>
                <w:sz w:val="32"/>
                <w:szCs w:val="32"/>
                <w:lang/>
              </w:rPr>
              <w:t>2974.4</w:t>
            </w:r>
            <w:r>
              <w:rPr>
                <w:rFonts w:ascii="仿宋" w:eastAsia="仿宋" w:hAnsi="仿宋" w:cs="Verdana" w:hint="eastAsia"/>
                <w:kern w:val="0"/>
                <w:sz w:val="32"/>
                <w:szCs w:val="32"/>
                <w:lang/>
              </w:rPr>
              <w:t>万元，本年度本单位拟购置固定资产主要为计算机设备、打印设备等，已列入政府采购预算。详见下表。</w:t>
            </w:r>
          </w:p>
          <w:p w:rsidR="00E04E2E" w:rsidRDefault="00E04E2E">
            <w:pPr>
              <w:widowControl/>
              <w:jc w:val="center"/>
              <w:rPr>
                <w:rFonts w:ascii="宋体" w:cs="宋体"/>
                <w:b/>
                <w:bCs/>
                <w:kern w:val="0"/>
                <w:sz w:val="32"/>
                <w:szCs w:val="32"/>
              </w:rPr>
            </w:pPr>
            <w:r>
              <w:rPr>
                <w:rFonts w:ascii="宋体" w:hAnsi="宋体" w:cs="宋体" w:hint="eastAsia"/>
                <w:b/>
                <w:bCs/>
                <w:kern w:val="0"/>
                <w:sz w:val="32"/>
                <w:szCs w:val="32"/>
              </w:rPr>
              <w:t>霸州市人民检察院固定资产占用情况表</w:t>
            </w:r>
          </w:p>
        </w:tc>
      </w:tr>
      <w:tr w:rsidR="00E04E2E" w:rsidRPr="00B8456A">
        <w:trPr>
          <w:trHeight w:val="510"/>
        </w:trPr>
        <w:tc>
          <w:tcPr>
            <w:tcW w:w="8379" w:type="dxa"/>
            <w:gridSpan w:val="2"/>
            <w:tcBorders>
              <w:top w:val="nil"/>
              <w:left w:val="nil"/>
              <w:bottom w:val="nil"/>
              <w:right w:val="nil"/>
            </w:tcBorders>
            <w:vAlign w:val="center"/>
          </w:tcPr>
          <w:p w:rsidR="00E04E2E" w:rsidRDefault="00E04E2E">
            <w:pPr>
              <w:widowControl/>
              <w:wordWrap w:val="0"/>
              <w:jc w:val="left"/>
              <w:rPr>
                <w:rFonts w:ascii="宋体" w:cs="宋体"/>
                <w:kern w:val="0"/>
                <w:sz w:val="22"/>
              </w:rPr>
            </w:pPr>
            <w:r>
              <w:rPr>
                <w:rFonts w:ascii="Verdana" w:hAnsi="Verdana" w:cs="Verdana" w:hint="eastAsia"/>
                <w:kern w:val="0"/>
                <w:sz w:val="22"/>
                <w:lang/>
              </w:rPr>
              <w:t>编制部门：</w:t>
            </w:r>
            <w:r>
              <w:rPr>
                <w:rFonts w:ascii="Verdana" w:hAnsi="Verdana" w:cs="Verdana"/>
                <w:kern w:val="0"/>
                <w:sz w:val="22"/>
                <w:lang/>
              </w:rPr>
              <w:t>404</w:t>
            </w:r>
            <w:r>
              <w:rPr>
                <w:rFonts w:ascii="Verdana" w:hAnsi="Verdana" w:cs="Verdana" w:hint="eastAsia"/>
                <w:kern w:val="0"/>
                <w:sz w:val="22"/>
                <w:lang/>
              </w:rPr>
              <w:t>霸州市人民检察院</w:t>
            </w:r>
          </w:p>
        </w:tc>
        <w:tc>
          <w:tcPr>
            <w:tcW w:w="5103" w:type="dxa"/>
            <w:tcBorders>
              <w:top w:val="nil"/>
              <w:left w:val="nil"/>
              <w:bottom w:val="nil"/>
              <w:right w:val="nil"/>
            </w:tcBorders>
            <w:vAlign w:val="center"/>
          </w:tcPr>
          <w:p w:rsidR="00E04E2E" w:rsidRDefault="00E04E2E">
            <w:pPr>
              <w:widowControl/>
              <w:wordWrap w:val="0"/>
              <w:jc w:val="left"/>
              <w:rPr>
                <w:rFonts w:ascii="宋体" w:cs="宋体"/>
                <w:kern w:val="0"/>
                <w:sz w:val="22"/>
              </w:rPr>
            </w:pPr>
            <w:r>
              <w:rPr>
                <w:rFonts w:ascii="Verdana" w:hAnsi="Verdana" w:cs="Verdana" w:hint="eastAsia"/>
                <w:kern w:val="0"/>
                <w:sz w:val="22"/>
                <w:lang/>
              </w:rPr>
              <w:t>截止时间：</w:t>
            </w:r>
            <w:r>
              <w:rPr>
                <w:rFonts w:ascii="Verdana" w:hAnsi="Verdana" w:cs="Verdana"/>
                <w:kern w:val="0"/>
                <w:sz w:val="22"/>
                <w:lang/>
              </w:rPr>
              <w:t>2016</w:t>
            </w:r>
            <w:r>
              <w:rPr>
                <w:rFonts w:ascii="Verdana" w:hAnsi="Verdana" w:cs="Verdana" w:hint="eastAsia"/>
                <w:kern w:val="0"/>
                <w:sz w:val="22"/>
                <w:lang/>
              </w:rPr>
              <w:t>年</w:t>
            </w:r>
            <w:r>
              <w:rPr>
                <w:rFonts w:ascii="Verdana" w:hAnsi="Verdana" w:cs="Verdana"/>
                <w:kern w:val="0"/>
                <w:sz w:val="22"/>
                <w:lang/>
              </w:rPr>
              <w:t>12</w:t>
            </w:r>
            <w:r>
              <w:rPr>
                <w:rFonts w:ascii="Verdana" w:hAnsi="Verdana" w:cs="Verdana" w:hint="eastAsia"/>
                <w:kern w:val="0"/>
                <w:sz w:val="22"/>
                <w:lang/>
              </w:rPr>
              <w:t>月</w:t>
            </w:r>
            <w:r>
              <w:rPr>
                <w:rFonts w:ascii="Verdana" w:hAnsi="Verdana" w:cs="Verdana"/>
                <w:kern w:val="0"/>
                <w:sz w:val="22"/>
                <w:lang/>
              </w:rPr>
              <w:t>31</w:t>
            </w:r>
            <w:r>
              <w:rPr>
                <w:rFonts w:ascii="Verdana" w:hAnsi="Verdana" w:cs="Verdana" w:hint="eastAsia"/>
                <w:kern w:val="0"/>
                <w:sz w:val="22"/>
                <w:lang/>
              </w:rPr>
              <w:t>日</w:t>
            </w:r>
            <w:r>
              <w:rPr>
                <w:rFonts w:ascii="Verdana" w:hAnsi="Verdana" w:cs="Verdana"/>
                <w:kern w:val="0"/>
                <w:sz w:val="22"/>
                <w:lang/>
              </w:rPr>
              <w:t xml:space="preserve">  </w:t>
            </w:r>
          </w:p>
        </w:tc>
      </w:tr>
      <w:tr w:rsidR="00E04E2E" w:rsidRPr="00B8456A">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E04E2E" w:rsidRDefault="00E04E2E">
            <w:pPr>
              <w:widowControl/>
              <w:wordWrap w:val="0"/>
              <w:jc w:val="center"/>
              <w:rPr>
                <w:rFonts w:ascii="宋体" w:cs="宋体"/>
                <w:b/>
                <w:bCs/>
                <w:kern w:val="0"/>
                <w:sz w:val="22"/>
              </w:rPr>
            </w:pPr>
            <w:r>
              <w:rPr>
                <w:rFonts w:ascii="Verdana" w:hAnsi="Verdana" w:cs="Verdana" w:hint="eastAsia"/>
                <w:b/>
                <w:kern w:val="0"/>
                <w:sz w:val="22"/>
                <w:lang/>
              </w:rPr>
              <w:t>项</w:t>
            </w:r>
            <w:r>
              <w:rPr>
                <w:rFonts w:ascii="Verdana" w:hAnsi="Verdana" w:cs="Verdana"/>
                <w:b/>
                <w:kern w:val="0"/>
                <w:sz w:val="22"/>
                <w:lang/>
              </w:rPr>
              <w:t xml:space="preserve">   </w:t>
            </w:r>
            <w:r>
              <w:rPr>
                <w:rFonts w:ascii="Verdana" w:hAnsi="Verdana" w:cs="Verdana" w:hint="eastAsia"/>
                <w:b/>
                <w:kern w:val="0"/>
                <w:sz w:val="22"/>
                <w:lang/>
              </w:rPr>
              <w:t>目</w:t>
            </w:r>
          </w:p>
        </w:tc>
        <w:tc>
          <w:tcPr>
            <w:tcW w:w="3155" w:type="dxa"/>
            <w:tcBorders>
              <w:top w:val="single" w:sz="4" w:space="0" w:color="auto"/>
              <w:left w:val="nil"/>
              <w:bottom w:val="single" w:sz="4" w:space="0" w:color="auto"/>
              <w:right w:val="single" w:sz="4" w:space="0" w:color="auto"/>
            </w:tcBorders>
            <w:vAlign w:val="center"/>
          </w:tcPr>
          <w:p w:rsidR="00E04E2E" w:rsidRDefault="00E04E2E">
            <w:pPr>
              <w:widowControl/>
              <w:wordWrap w:val="0"/>
              <w:jc w:val="center"/>
              <w:rPr>
                <w:rFonts w:ascii="宋体" w:cs="宋体"/>
                <w:b/>
                <w:bCs/>
                <w:kern w:val="0"/>
                <w:sz w:val="22"/>
              </w:rPr>
            </w:pPr>
            <w:r>
              <w:rPr>
                <w:rFonts w:ascii="Verdana" w:hAnsi="Verdana" w:cs="Verdana" w:hint="eastAsia"/>
                <w:b/>
                <w:kern w:val="0"/>
                <w:sz w:val="22"/>
                <w:lang/>
              </w:rPr>
              <w:t>数量</w:t>
            </w:r>
          </w:p>
        </w:tc>
        <w:tc>
          <w:tcPr>
            <w:tcW w:w="5103" w:type="dxa"/>
            <w:tcBorders>
              <w:top w:val="single" w:sz="4" w:space="0" w:color="auto"/>
              <w:left w:val="nil"/>
              <w:bottom w:val="single" w:sz="4" w:space="0" w:color="auto"/>
              <w:right w:val="single" w:sz="4" w:space="0" w:color="auto"/>
            </w:tcBorders>
            <w:vAlign w:val="center"/>
          </w:tcPr>
          <w:p w:rsidR="00E04E2E" w:rsidRDefault="00E04E2E">
            <w:pPr>
              <w:widowControl/>
              <w:wordWrap w:val="0"/>
              <w:jc w:val="center"/>
              <w:rPr>
                <w:rFonts w:ascii="宋体" w:cs="宋体"/>
                <w:b/>
                <w:bCs/>
                <w:kern w:val="0"/>
                <w:sz w:val="22"/>
              </w:rPr>
            </w:pPr>
            <w:r>
              <w:rPr>
                <w:rFonts w:ascii="Verdana" w:hAnsi="Verdana" w:cs="Verdana" w:hint="eastAsia"/>
                <w:b/>
                <w:kern w:val="0"/>
                <w:sz w:val="22"/>
                <w:lang/>
              </w:rPr>
              <w:t>价值（金额单位：万元）</w:t>
            </w:r>
          </w:p>
        </w:tc>
      </w:tr>
      <w:tr w:rsidR="00E04E2E" w:rsidRPr="00B8456A">
        <w:trPr>
          <w:trHeight w:val="645"/>
        </w:trPr>
        <w:tc>
          <w:tcPr>
            <w:tcW w:w="5224" w:type="dxa"/>
            <w:tcBorders>
              <w:top w:val="nil"/>
              <w:left w:val="single" w:sz="4" w:space="0" w:color="auto"/>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hint="eastAsia"/>
                <w:kern w:val="0"/>
                <w:sz w:val="22"/>
                <w:lang/>
              </w:rPr>
              <w:t>资产总额</w:t>
            </w:r>
          </w:p>
        </w:tc>
        <w:tc>
          <w:tcPr>
            <w:tcW w:w="3155"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w:t>
            </w:r>
          </w:p>
        </w:tc>
        <w:tc>
          <w:tcPr>
            <w:tcW w:w="5103"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2974.4</w:t>
            </w:r>
          </w:p>
        </w:tc>
      </w:tr>
      <w:tr w:rsidR="00E04E2E" w:rsidRPr="00B8456A">
        <w:trPr>
          <w:trHeight w:val="645"/>
        </w:trPr>
        <w:tc>
          <w:tcPr>
            <w:tcW w:w="5224" w:type="dxa"/>
            <w:tcBorders>
              <w:top w:val="nil"/>
              <w:left w:val="single" w:sz="4" w:space="0" w:color="auto"/>
              <w:bottom w:val="single" w:sz="4" w:space="0" w:color="auto"/>
              <w:right w:val="single" w:sz="4" w:space="0" w:color="auto"/>
            </w:tcBorders>
            <w:vAlign w:val="center"/>
          </w:tcPr>
          <w:p w:rsidR="00E04E2E" w:rsidRDefault="00E04E2E">
            <w:pPr>
              <w:widowControl/>
              <w:wordWrap w:val="0"/>
              <w:jc w:val="left"/>
              <w:rPr>
                <w:rFonts w:ascii="宋体" w:cs="宋体"/>
                <w:kern w:val="0"/>
                <w:sz w:val="22"/>
              </w:rPr>
            </w:pPr>
            <w:r>
              <w:rPr>
                <w:rFonts w:ascii="Verdana" w:hAnsi="Verdana" w:cs="Verdana"/>
                <w:kern w:val="0"/>
                <w:sz w:val="22"/>
                <w:lang/>
              </w:rPr>
              <w:t>1</w:t>
            </w:r>
            <w:r>
              <w:rPr>
                <w:rFonts w:ascii="Verdana" w:hAnsi="Verdana" w:cs="Verdana" w:hint="eastAsia"/>
                <w:kern w:val="0"/>
                <w:sz w:val="22"/>
                <w:lang/>
              </w:rPr>
              <w:t>、房屋（平方米）</w:t>
            </w:r>
          </w:p>
        </w:tc>
        <w:tc>
          <w:tcPr>
            <w:tcW w:w="3155"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5846</w:t>
            </w:r>
          </w:p>
        </w:tc>
        <w:tc>
          <w:tcPr>
            <w:tcW w:w="5103"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1349.1</w:t>
            </w:r>
          </w:p>
        </w:tc>
      </w:tr>
      <w:tr w:rsidR="00E04E2E" w:rsidRPr="00B8456A">
        <w:trPr>
          <w:trHeight w:val="645"/>
        </w:trPr>
        <w:tc>
          <w:tcPr>
            <w:tcW w:w="5224" w:type="dxa"/>
            <w:tcBorders>
              <w:top w:val="nil"/>
              <w:left w:val="single" w:sz="4" w:space="0" w:color="auto"/>
              <w:bottom w:val="single" w:sz="4" w:space="0" w:color="auto"/>
              <w:right w:val="single" w:sz="4" w:space="0" w:color="auto"/>
            </w:tcBorders>
            <w:vAlign w:val="center"/>
          </w:tcPr>
          <w:p w:rsidR="00E04E2E" w:rsidRDefault="00E04E2E">
            <w:pPr>
              <w:widowControl/>
              <w:wordWrap w:val="0"/>
              <w:jc w:val="left"/>
              <w:rPr>
                <w:rFonts w:ascii="宋体" w:cs="宋体"/>
                <w:kern w:val="0"/>
                <w:sz w:val="22"/>
              </w:rPr>
            </w:pPr>
            <w:r>
              <w:rPr>
                <w:rFonts w:ascii="Verdana" w:hAnsi="Verdana" w:cs="Verdana"/>
                <w:kern w:val="0"/>
                <w:sz w:val="22"/>
                <w:lang/>
              </w:rPr>
              <w:t>   </w:t>
            </w:r>
            <w:r>
              <w:rPr>
                <w:rFonts w:ascii="Verdana" w:hAnsi="Verdana" w:cs="Verdana" w:hint="eastAsia"/>
                <w:kern w:val="0"/>
                <w:sz w:val="22"/>
                <w:lang/>
              </w:rPr>
              <w:t>其中：办公用房（平方米）</w:t>
            </w:r>
          </w:p>
        </w:tc>
        <w:tc>
          <w:tcPr>
            <w:tcW w:w="3155"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5846</w:t>
            </w:r>
          </w:p>
        </w:tc>
        <w:tc>
          <w:tcPr>
            <w:tcW w:w="5103"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1349.1</w:t>
            </w:r>
          </w:p>
        </w:tc>
      </w:tr>
      <w:tr w:rsidR="00E04E2E" w:rsidRPr="00B8456A">
        <w:trPr>
          <w:trHeight w:val="645"/>
        </w:trPr>
        <w:tc>
          <w:tcPr>
            <w:tcW w:w="5224" w:type="dxa"/>
            <w:tcBorders>
              <w:top w:val="nil"/>
              <w:left w:val="single" w:sz="4" w:space="0" w:color="auto"/>
              <w:bottom w:val="single" w:sz="4" w:space="0" w:color="auto"/>
              <w:right w:val="single" w:sz="4" w:space="0" w:color="auto"/>
            </w:tcBorders>
            <w:vAlign w:val="center"/>
          </w:tcPr>
          <w:p w:rsidR="00E04E2E" w:rsidRDefault="00E04E2E">
            <w:pPr>
              <w:widowControl/>
              <w:wordWrap w:val="0"/>
              <w:jc w:val="left"/>
              <w:rPr>
                <w:rFonts w:ascii="宋体" w:cs="宋体"/>
                <w:kern w:val="0"/>
                <w:sz w:val="22"/>
              </w:rPr>
            </w:pPr>
            <w:r>
              <w:rPr>
                <w:rFonts w:ascii="Verdana" w:hAnsi="Verdana" w:cs="Verdana"/>
                <w:kern w:val="0"/>
                <w:sz w:val="22"/>
                <w:lang/>
              </w:rPr>
              <w:t>2</w:t>
            </w:r>
            <w:r>
              <w:rPr>
                <w:rFonts w:ascii="Verdana" w:hAnsi="Verdana" w:cs="Verdana" w:hint="eastAsia"/>
                <w:kern w:val="0"/>
                <w:sz w:val="22"/>
                <w:lang/>
              </w:rPr>
              <w:t>、车辆（台、辆）</w:t>
            </w:r>
          </w:p>
        </w:tc>
        <w:tc>
          <w:tcPr>
            <w:tcW w:w="3155"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33</w:t>
            </w:r>
          </w:p>
        </w:tc>
        <w:tc>
          <w:tcPr>
            <w:tcW w:w="5103"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r>
              <w:rPr>
                <w:rFonts w:ascii="Verdana" w:hAnsi="Verdana" w:cs="Verdana"/>
                <w:kern w:val="0"/>
                <w:sz w:val="22"/>
                <w:lang/>
              </w:rPr>
              <w:t>497</w:t>
            </w:r>
          </w:p>
        </w:tc>
      </w:tr>
      <w:tr w:rsidR="00E04E2E" w:rsidRPr="00B8456A">
        <w:trPr>
          <w:trHeight w:val="645"/>
        </w:trPr>
        <w:tc>
          <w:tcPr>
            <w:tcW w:w="5224" w:type="dxa"/>
            <w:tcBorders>
              <w:top w:val="nil"/>
              <w:left w:val="single" w:sz="4" w:space="0" w:color="auto"/>
              <w:bottom w:val="single" w:sz="4" w:space="0" w:color="auto"/>
              <w:right w:val="single" w:sz="4" w:space="0" w:color="auto"/>
            </w:tcBorders>
            <w:vAlign w:val="center"/>
          </w:tcPr>
          <w:p w:rsidR="00E04E2E" w:rsidRDefault="00E04E2E">
            <w:pPr>
              <w:widowControl/>
              <w:wordWrap w:val="0"/>
              <w:jc w:val="left"/>
              <w:rPr>
                <w:rFonts w:ascii="宋体" w:cs="宋体"/>
                <w:kern w:val="0"/>
                <w:sz w:val="22"/>
              </w:rPr>
            </w:pPr>
            <w:r>
              <w:rPr>
                <w:rFonts w:ascii="Verdana" w:hAnsi="Verdana" w:cs="Verdana"/>
                <w:kern w:val="0"/>
                <w:sz w:val="22"/>
                <w:lang/>
              </w:rPr>
              <w:t>3</w:t>
            </w:r>
            <w:r>
              <w:rPr>
                <w:rFonts w:ascii="Verdana" w:hAnsi="Verdana" w:cs="Verdana" w:hint="eastAsia"/>
                <w:kern w:val="0"/>
                <w:sz w:val="22"/>
                <w:lang/>
              </w:rPr>
              <w:t>、单价在</w:t>
            </w:r>
            <w:r>
              <w:rPr>
                <w:rFonts w:ascii="Verdana" w:hAnsi="Verdana" w:cs="Verdana"/>
                <w:kern w:val="0"/>
                <w:sz w:val="22"/>
                <w:lang/>
              </w:rPr>
              <w:t>20</w:t>
            </w:r>
            <w:r>
              <w:rPr>
                <w:rFonts w:ascii="Verdana" w:hAnsi="Verdana" w:cs="Verdana" w:hint="eastAsia"/>
                <w:kern w:val="0"/>
                <w:sz w:val="22"/>
                <w:lang/>
              </w:rPr>
              <w:t>万元以上的设备</w:t>
            </w:r>
          </w:p>
        </w:tc>
        <w:tc>
          <w:tcPr>
            <w:tcW w:w="3155"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E04E2E" w:rsidRDefault="00E04E2E">
            <w:pPr>
              <w:widowControl/>
              <w:wordWrap w:val="0"/>
              <w:jc w:val="center"/>
              <w:rPr>
                <w:rFonts w:ascii="宋体" w:cs="宋体"/>
                <w:kern w:val="0"/>
                <w:sz w:val="22"/>
              </w:rPr>
            </w:pPr>
          </w:p>
        </w:tc>
      </w:tr>
      <w:tr w:rsidR="00E04E2E" w:rsidRPr="00B8456A">
        <w:trPr>
          <w:trHeight w:val="645"/>
        </w:trPr>
        <w:tc>
          <w:tcPr>
            <w:tcW w:w="5224" w:type="dxa"/>
            <w:tcBorders>
              <w:top w:val="nil"/>
              <w:left w:val="single" w:sz="4" w:space="0" w:color="auto"/>
              <w:bottom w:val="single" w:sz="4" w:space="0" w:color="auto"/>
              <w:right w:val="single" w:sz="4" w:space="0" w:color="auto"/>
            </w:tcBorders>
            <w:vAlign w:val="center"/>
          </w:tcPr>
          <w:p w:rsidR="00E04E2E" w:rsidRDefault="00E04E2E">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E04E2E" w:rsidRDefault="00E04E2E">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E04E2E" w:rsidRDefault="00E04E2E">
            <w:pPr>
              <w:widowControl/>
              <w:jc w:val="center"/>
              <w:rPr>
                <w:rFonts w:ascii="宋体" w:cs="宋体"/>
                <w:kern w:val="0"/>
                <w:sz w:val="22"/>
              </w:rPr>
            </w:pPr>
            <w:r>
              <w:rPr>
                <w:rFonts w:ascii="Verdana" w:hAnsi="Verdana" w:cs="Verdana"/>
                <w:kern w:val="0"/>
                <w:sz w:val="22"/>
                <w:lang/>
              </w:rPr>
              <w:t>1128.3</w:t>
            </w:r>
          </w:p>
        </w:tc>
      </w:tr>
    </w:tbl>
    <w:p w:rsidR="00E04E2E" w:rsidRDefault="00E04E2E">
      <w:pPr>
        <w:tabs>
          <w:tab w:val="left" w:pos="11490"/>
        </w:tabs>
        <w:ind w:firstLineChars="200" w:firstLine="640"/>
        <w:rPr>
          <w:rFonts w:ascii="黑体" w:eastAsia="黑体" w:hAnsi="黑体"/>
          <w:sz w:val="32"/>
          <w:szCs w:val="32"/>
        </w:rPr>
      </w:pPr>
      <w:r>
        <w:rPr>
          <w:rFonts w:ascii="黑体" w:eastAsia="黑体" w:hAnsi="黑体" w:hint="eastAsia"/>
          <w:sz w:val="32"/>
          <w:szCs w:val="32"/>
        </w:rPr>
        <w:t>八、名词解释</w:t>
      </w:r>
    </w:p>
    <w:p w:rsidR="00E04E2E" w:rsidRPr="00207CAD" w:rsidRDefault="00E04E2E" w:rsidP="00C84797">
      <w:pPr>
        <w:pStyle w:val="Default"/>
        <w:rPr>
          <w:rFonts w:ascii="仿宋_GB2312" w:eastAsia="仿宋_GB2312"/>
          <w:b/>
          <w:bCs/>
          <w:sz w:val="32"/>
          <w:szCs w:val="32"/>
        </w:rPr>
      </w:pPr>
      <w:r>
        <w:rPr>
          <w:b/>
          <w:bCs/>
          <w:sz w:val="32"/>
          <w:szCs w:val="32"/>
        </w:rPr>
        <w:t xml:space="preserve">    </w:t>
      </w: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E04E2E" w:rsidRPr="00207CAD" w:rsidRDefault="00E04E2E" w:rsidP="00C84797">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E04E2E" w:rsidRPr="00207CAD" w:rsidRDefault="00E04E2E" w:rsidP="00C84797">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E04E2E" w:rsidRPr="00207CAD" w:rsidRDefault="00E04E2E" w:rsidP="00C84797">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E04E2E" w:rsidRPr="00207CAD" w:rsidRDefault="00E04E2E" w:rsidP="00C84797">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E04E2E" w:rsidRPr="00207CAD" w:rsidRDefault="00E04E2E" w:rsidP="00C84797">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E04E2E" w:rsidRPr="00207CAD" w:rsidRDefault="00E04E2E" w:rsidP="00C84797">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04E2E" w:rsidRPr="00207CAD" w:rsidRDefault="00E04E2E" w:rsidP="00C84797">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E04E2E" w:rsidRDefault="00E04E2E">
      <w:pPr>
        <w:tabs>
          <w:tab w:val="left" w:pos="11490"/>
        </w:tabs>
        <w:ind w:firstLineChars="200" w:firstLine="640"/>
        <w:rPr>
          <w:rFonts w:ascii="黑体" w:eastAsia="黑体" w:hAnsi="黑体"/>
          <w:sz w:val="32"/>
          <w:szCs w:val="32"/>
        </w:rPr>
      </w:pPr>
      <w:r>
        <w:rPr>
          <w:rFonts w:ascii="黑体" w:eastAsia="黑体" w:hAnsi="黑体" w:hint="eastAsia"/>
          <w:sz w:val="32"/>
          <w:szCs w:val="32"/>
        </w:rPr>
        <w:t>九、其它需要说明的事项</w:t>
      </w:r>
    </w:p>
    <w:p w:rsidR="00E04E2E" w:rsidRDefault="00E04E2E">
      <w:pPr>
        <w:widowControl/>
        <w:wordWrap w:val="0"/>
        <w:spacing w:line="580" w:lineRule="atLeast"/>
        <w:ind w:firstLineChars="200" w:firstLine="640"/>
        <w:jc w:val="left"/>
        <w:rPr>
          <w:rFonts w:ascii="仿宋" w:eastAsia="仿宋" w:hAnsi="仿宋" w:cs="Verdana"/>
          <w:kern w:val="0"/>
          <w:sz w:val="32"/>
          <w:szCs w:val="32"/>
          <w:lang/>
        </w:rPr>
      </w:pPr>
      <w:r>
        <w:rPr>
          <w:rFonts w:ascii="仿宋" w:eastAsia="仿宋" w:hAnsi="仿宋" w:cs="Verdana" w:hint="eastAsia"/>
          <w:kern w:val="0"/>
          <w:sz w:val="32"/>
          <w:szCs w:val="32"/>
          <w:lang/>
        </w:rPr>
        <w:t>无其它需要说明的事项。</w:t>
      </w:r>
    </w:p>
    <w:p w:rsidR="00E04E2E" w:rsidRDefault="00E04E2E">
      <w:pPr>
        <w:tabs>
          <w:tab w:val="left" w:pos="11490"/>
        </w:tabs>
        <w:ind w:firstLineChars="200" w:firstLine="643"/>
        <w:rPr>
          <w:rFonts w:ascii="??_GB2312" w:eastAsia="Times New Roman" w:hAnsi="Times New Roman"/>
          <w:b/>
          <w:sz w:val="32"/>
          <w:szCs w:val="32"/>
        </w:rPr>
      </w:pPr>
    </w:p>
    <w:sectPr w:rsidR="00E04E2E" w:rsidSect="00D6775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um"/>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方正书宋_GBK">
    <w:altName w:val="微软雅黑"/>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4D74"/>
    <w:multiLevelType w:val="singleLevel"/>
    <w:tmpl w:val="5A004D74"/>
    <w:lvl w:ilvl="0">
      <w:start w:val="4"/>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12028"/>
    <w:rsid w:val="0003121A"/>
    <w:rsid w:val="00037AF6"/>
    <w:rsid w:val="00045A61"/>
    <w:rsid w:val="00055D09"/>
    <w:rsid w:val="000643A0"/>
    <w:rsid w:val="00067117"/>
    <w:rsid w:val="00075D5F"/>
    <w:rsid w:val="000920C0"/>
    <w:rsid w:val="00096423"/>
    <w:rsid w:val="000B70F7"/>
    <w:rsid w:val="000C3A19"/>
    <w:rsid w:val="000D740D"/>
    <w:rsid w:val="001245BB"/>
    <w:rsid w:val="0018479D"/>
    <w:rsid w:val="001A69C1"/>
    <w:rsid w:val="00204C18"/>
    <w:rsid w:val="00207CAD"/>
    <w:rsid w:val="00241FD4"/>
    <w:rsid w:val="00251B12"/>
    <w:rsid w:val="002645FB"/>
    <w:rsid w:val="00287688"/>
    <w:rsid w:val="002935FC"/>
    <w:rsid w:val="00296113"/>
    <w:rsid w:val="002A215D"/>
    <w:rsid w:val="002F3E58"/>
    <w:rsid w:val="0030542C"/>
    <w:rsid w:val="00311B7A"/>
    <w:rsid w:val="00382C33"/>
    <w:rsid w:val="003E1A7F"/>
    <w:rsid w:val="003E52B7"/>
    <w:rsid w:val="003F3B91"/>
    <w:rsid w:val="00451871"/>
    <w:rsid w:val="00457736"/>
    <w:rsid w:val="00462805"/>
    <w:rsid w:val="00470B77"/>
    <w:rsid w:val="00472923"/>
    <w:rsid w:val="004A77B1"/>
    <w:rsid w:val="004B0AE4"/>
    <w:rsid w:val="004E3066"/>
    <w:rsid w:val="004E74CD"/>
    <w:rsid w:val="004F2A27"/>
    <w:rsid w:val="004F560F"/>
    <w:rsid w:val="0051023F"/>
    <w:rsid w:val="00511C50"/>
    <w:rsid w:val="0052680D"/>
    <w:rsid w:val="00573562"/>
    <w:rsid w:val="00590472"/>
    <w:rsid w:val="005B343C"/>
    <w:rsid w:val="005D77B1"/>
    <w:rsid w:val="005F366F"/>
    <w:rsid w:val="00614A29"/>
    <w:rsid w:val="0065409C"/>
    <w:rsid w:val="00667568"/>
    <w:rsid w:val="00681EFF"/>
    <w:rsid w:val="00690D11"/>
    <w:rsid w:val="006A1C7F"/>
    <w:rsid w:val="006D4BB2"/>
    <w:rsid w:val="00712F2E"/>
    <w:rsid w:val="007237EA"/>
    <w:rsid w:val="00747AD0"/>
    <w:rsid w:val="0075393C"/>
    <w:rsid w:val="007722EB"/>
    <w:rsid w:val="00776C08"/>
    <w:rsid w:val="007B4EE0"/>
    <w:rsid w:val="007C2346"/>
    <w:rsid w:val="007E1DA8"/>
    <w:rsid w:val="007F6C26"/>
    <w:rsid w:val="00801227"/>
    <w:rsid w:val="008050F5"/>
    <w:rsid w:val="00814177"/>
    <w:rsid w:val="008334AE"/>
    <w:rsid w:val="00836FED"/>
    <w:rsid w:val="00845CD2"/>
    <w:rsid w:val="008502D8"/>
    <w:rsid w:val="00851709"/>
    <w:rsid w:val="00852B0D"/>
    <w:rsid w:val="00881692"/>
    <w:rsid w:val="00883968"/>
    <w:rsid w:val="00890435"/>
    <w:rsid w:val="00890E54"/>
    <w:rsid w:val="008A5423"/>
    <w:rsid w:val="008B3CC5"/>
    <w:rsid w:val="008B4435"/>
    <w:rsid w:val="008C1793"/>
    <w:rsid w:val="008C2BAF"/>
    <w:rsid w:val="008E4261"/>
    <w:rsid w:val="008F4662"/>
    <w:rsid w:val="00905779"/>
    <w:rsid w:val="00905D08"/>
    <w:rsid w:val="009172C3"/>
    <w:rsid w:val="00925753"/>
    <w:rsid w:val="00945C72"/>
    <w:rsid w:val="00952E5C"/>
    <w:rsid w:val="00966C5C"/>
    <w:rsid w:val="009721B8"/>
    <w:rsid w:val="00973104"/>
    <w:rsid w:val="0098798C"/>
    <w:rsid w:val="009B2A39"/>
    <w:rsid w:val="00A003B8"/>
    <w:rsid w:val="00A1176E"/>
    <w:rsid w:val="00A44217"/>
    <w:rsid w:val="00A47939"/>
    <w:rsid w:val="00A53E17"/>
    <w:rsid w:val="00A668FE"/>
    <w:rsid w:val="00A67430"/>
    <w:rsid w:val="00A72D2E"/>
    <w:rsid w:val="00A911E7"/>
    <w:rsid w:val="00A939D9"/>
    <w:rsid w:val="00AA1E38"/>
    <w:rsid w:val="00AB1409"/>
    <w:rsid w:val="00AC63B4"/>
    <w:rsid w:val="00AC69D5"/>
    <w:rsid w:val="00B17ADA"/>
    <w:rsid w:val="00B20712"/>
    <w:rsid w:val="00B218B0"/>
    <w:rsid w:val="00B22A6B"/>
    <w:rsid w:val="00B43238"/>
    <w:rsid w:val="00B75216"/>
    <w:rsid w:val="00B8456A"/>
    <w:rsid w:val="00B91D52"/>
    <w:rsid w:val="00BA1ACD"/>
    <w:rsid w:val="00BC681B"/>
    <w:rsid w:val="00BD16FC"/>
    <w:rsid w:val="00BF7510"/>
    <w:rsid w:val="00C01825"/>
    <w:rsid w:val="00C711B8"/>
    <w:rsid w:val="00C84797"/>
    <w:rsid w:val="00CA7176"/>
    <w:rsid w:val="00CD2773"/>
    <w:rsid w:val="00CE143B"/>
    <w:rsid w:val="00D260D2"/>
    <w:rsid w:val="00D63054"/>
    <w:rsid w:val="00D67751"/>
    <w:rsid w:val="00D931E8"/>
    <w:rsid w:val="00DA2890"/>
    <w:rsid w:val="00DB7E2F"/>
    <w:rsid w:val="00DC3E2C"/>
    <w:rsid w:val="00E04E2E"/>
    <w:rsid w:val="00E167C7"/>
    <w:rsid w:val="00E36C7E"/>
    <w:rsid w:val="00E76778"/>
    <w:rsid w:val="00EC47F6"/>
    <w:rsid w:val="00EE1B43"/>
    <w:rsid w:val="00EF441B"/>
    <w:rsid w:val="00F153EF"/>
    <w:rsid w:val="00F32569"/>
    <w:rsid w:val="00F417E3"/>
    <w:rsid w:val="00F66032"/>
    <w:rsid w:val="00F86D57"/>
    <w:rsid w:val="00F958C2"/>
    <w:rsid w:val="00FF3F1E"/>
    <w:rsid w:val="12A35FE0"/>
    <w:rsid w:val="13CD3D67"/>
    <w:rsid w:val="13FC29C7"/>
    <w:rsid w:val="18EA0C47"/>
    <w:rsid w:val="18F41018"/>
    <w:rsid w:val="1D67021C"/>
    <w:rsid w:val="2A4C0539"/>
    <w:rsid w:val="3A0735F9"/>
    <w:rsid w:val="3A7B6A80"/>
    <w:rsid w:val="45FB750E"/>
    <w:rsid w:val="49384E77"/>
    <w:rsid w:val="4A512765"/>
    <w:rsid w:val="4B450AA7"/>
    <w:rsid w:val="4C176405"/>
    <w:rsid w:val="6AFD1C80"/>
    <w:rsid w:val="6BD565AF"/>
    <w:rsid w:val="764203A7"/>
    <w:rsid w:val="7F9B51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5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67751"/>
    <w:rPr>
      <w:sz w:val="18"/>
      <w:szCs w:val="18"/>
    </w:rPr>
  </w:style>
  <w:style w:type="character" w:customStyle="1" w:styleId="BalloonTextChar">
    <w:name w:val="Balloon Text Char"/>
    <w:basedOn w:val="DefaultParagraphFont"/>
    <w:link w:val="BalloonText"/>
    <w:uiPriority w:val="99"/>
    <w:semiHidden/>
    <w:locked/>
    <w:rsid w:val="00D67751"/>
    <w:rPr>
      <w:rFonts w:cs="Times New Roman"/>
      <w:sz w:val="18"/>
      <w:szCs w:val="18"/>
    </w:rPr>
  </w:style>
  <w:style w:type="paragraph" w:styleId="Footer">
    <w:name w:val="footer"/>
    <w:basedOn w:val="Normal"/>
    <w:link w:val="FooterChar"/>
    <w:uiPriority w:val="99"/>
    <w:rsid w:val="00D67751"/>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D67751"/>
    <w:rPr>
      <w:rFonts w:ascii="Times New Roman" w:eastAsia="宋体" w:hAnsi="Times New Roman" w:cs="Times New Roman"/>
      <w:sz w:val="18"/>
      <w:szCs w:val="18"/>
    </w:rPr>
  </w:style>
  <w:style w:type="paragraph" w:styleId="Header">
    <w:name w:val="header"/>
    <w:basedOn w:val="Normal"/>
    <w:link w:val="HeaderChar"/>
    <w:uiPriority w:val="99"/>
    <w:rsid w:val="00D6775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D67751"/>
    <w:rPr>
      <w:rFonts w:ascii="Times New Roman" w:eastAsia="宋体" w:hAnsi="Times New Roman" w:cs="Times New Roman"/>
      <w:sz w:val="18"/>
      <w:szCs w:val="18"/>
    </w:rPr>
  </w:style>
  <w:style w:type="paragraph" w:styleId="TOC1">
    <w:name w:val="toc 1"/>
    <w:basedOn w:val="Normal"/>
    <w:next w:val="Normal"/>
    <w:uiPriority w:val="99"/>
    <w:rsid w:val="00D67751"/>
    <w:rPr>
      <w:rFonts w:ascii="Times New Roman" w:hAnsi="Times New Roman"/>
      <w:szCs w:val="24"/>
    </w:rPr>
  </w:style>
  <w:style w:type="paragraph" w:styleId="TOC2">
    <w:name w:val="toc 2"/>
    <w:basedOn w:val="Normal"/>
    <w:next w:val="Normal"/>
    <w:uiPriority w:val="99"/>
    <w:rsid w:val="00D67751"/>
    <w:pPr>
      <w:ind w:leftChars="200" w:left="420"/>
    </w:pPr>
    <w:rPr>
      <w:rFonts w:ascii="Times New Roman" w:hAnsi="Times New Roman"/>
      <w:szCs w:val="24"/>
    </w:rPr>
  </w:style>
  <w:style w:type="paragraph" w:customStyle="1" w:styleId="Default">
    <w:name w:val="Default"/>
    <w:uiPriority w:val="99"/>
    <w:rsid w:val="00C84797"/>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1211</Words>
  <Characters>6909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78</cp:revision>
  <cp:lastPrinted>2017-05-13T10:45:00Z</cp:lastPrinted>
  <dcterms:created xsi:type="dcterms:W3CDTF">2017-10-26T06:45:00Z</dcterms:created>
  <dcterms:modified xsi:type="dcterms:W3CDTF">2017-04-21T02:57:00Z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